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9"/>
        <w:gridCol w:w="7614"/>
        <w:gridCol w:w="1224"/>
      </w:tblGrid>
      <w:tr w:rsidR="008B0A98" w:rsidTr="0072370E">
        <w:trPr>
          <w:trHeight w:val="1250"/>
        </w:trPr>
        <w:tc>
          <w:tcPr>
            <w:tcW w:w="1614" w:type="dxa"/>
          </w:tcPr>
          <w:p w:rsidR="008B0A98" w:rsidRPr="00383ADB" w:rsidRDefault="008B0A98" w:rsidP="0072370E">
            <w:pPr>
              <w:pStyle w:val="Heading3"/>
              <w:rPr>
                <w:sz w:val="22"/>
                <w:szCs w:val="22"/>
              </w:rPr>
            </w:pPr>
          </w:p>
        </w:tc>
        <w:tc>
          <w:tcPr>
            <w:tcW w:w="10374" w:type="dxa"/>
          </w:tcPr>
          <w:p w:rsidR="008B0A98" w:rsidRPr="008B0A98" w:rsidRDefault="00ED327A" w:rsidP="00ED327A">
            <w:pPr>
              <w:pStyle w:val="Title"/>
              <w:rPr>
                <w:b/>
                <w:bCs/>
              </w:rPr>
            </w:pPr>
            <w:r>
              <w:rPr>
                <w:b/>
                <w:bCs/>
              </w:rPr>
              <w:t>QUARTERLY REPORT</w:t>
            </w:r>
          </w:p>
        </w:tc>
        <w:tc>
          <w:tcPr>
            <w:tcW w:w="1430" w:type="dxa"/>
          </w:tcPr>
          <w:p w:rsidR="008B0A98" w:rsidRDefault="008B0A98" w:rsidP="0072370E">
            <w:pPr>
              <w:pStyle w:val="Heading3"/>
              <w:rPr>
                <w:sz w:val="22"/>
                <w:szCs w:val="22"/>
              </w:rPr>
            </w:pPr>
            <w:r>
              <w:rPr>
                <w:b w:val="0"/>
                <w:noProof/>
                <w:sz w:val="22"/>
                <w:szCs w:val="22"/>
                <w:lang w:val="en-US"/>
              </w:rPr>
              <w:drawing>
                <wp:inline distT="0" distB="0" distL="0" distR="0" wp14:anchorId="39802F9B" wp14:editId="05AF22A8">
                  <wp:extent cx="362189" cy="616688"/>
                  <wp:effectExtent l="0" t="0" r="0" b="0"/>
                  <wp:docPr id="1" name="Picture 1" descr="C:\Documents and Settings\eric.opoku\My Documents\My Pictures\UNDP\UND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ric.opoku\My Documents\My Pictures\UNDP\UND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189" cy="616688"/>
                          </a:xfrm>
                          <a:prstGeom prst="rect">
                            <a:avLst/>
                          </a:prstGeom>
                          <a:noFill/>
                          <a:ln>
                            <a:noFill/>
                          </a:ln>
                        </pic:spPr>
                      </pic:pic>
                    </a:graphicData>
                  </a:graphic>
                </wp:inline>
              </w:drawing>
            </w:r>
          </w:p>
          <w:p w:rsidR="008B0A98" w:rsidRPr="008036FA" w:rsidRDefault="008036FA" w:rsidP="008036FA">
            <w:pPr>
              <w:jc w:val="center"/>
              <w:rPr>
                <w:sz w:val="10"/>
                <w:szCs w:val="10"/>
                <w:lang w:val="en-GB"/>
              </w:rPr>
            </w:pPr>
            <w:r w:rsidRPr="008036FA">
              <w:rPr>
                <w:sz w:val="10"/>
                <w:szCs w:val="10"/>
                <w:lang w:val="en-GB"/>
              </w:rPr>
              <w:t xml:space="preserve">Empowered life </w:t>
            </w:r>
            <w:r>
              <w:rPr>
                <w:sz w:val="10"/>
                <w:szCs w:val="10"/>
                <w:lang w:val="en-GB"/>
              </w:rPr>
              <w:t>R</w:t>
            </w:r>
            <w:r w:rsidRPr="008036FA">
              <w:rPr>
                <w:sz w:val="10"/>
                <w:szCs w:val="10"/>
                <w:lang w:val="en-GB"/>
              </w:rPr>
              <w:t>esilient nations</w:t>
            </w:r>
          </w:p>
        </w:tc>
      </w:tr>
    </w:tbl>
    <w:p w:rsidR="008B0A98" w:rsidRDefault="008B0A98" w:rsidP="00F10AF8">
      <w:pPr>
        <w:autoSpaceDE w:val="0"/>
        <w:autoSpaceDN w:val="0"/>
        <w:adjustRightInd w:val="0"/>
        <w:spacing w:after="0" w:line="240" w:lineRule="auto"/>
        <w:rPr>
          <w:b/>
        </w:rPr>
      </w:pPr>
    </w:p>
    <w:tbl>
      <w:tblPr>
        <w:tblW w:w="9833" w:type="dxa"/>
        <w:tblInd w:w="12" w:type="dxa"/>
        <w:tblLook w:val="0000" w:firstRow="0" w:lastRow="0" w:firstColumn="0" w:lastColumn="0" w:noHBand="0" w:noVBand="0"/>
      </w:tblPr>
      <w:tblGrid>
        <w:gridCol w:w="5496"/>
        <w:gridCol w:w="4337"/>
      </w:tblGrid>
      <w:tr w:rsidR="00ED327A" w:rsidTr="00ED327A">
        <w:trPr>
          <w:trHeight w:val="301"/>
        </w:trPr>
        <w:tc>
          <w:tcPr>
            <w:tcW w:w="9833" w:type="dxa"/>
            <w:gridSpan w:val="2"/>
          </w:tcPr>
          <w:p w:rsidR="00ED327A" w:rsidRPr="00ED327A" w:rsidRDefault="00ED327A" w:rsidP="00ED327A">
            <w:pPr>
              <w:autoSpaceDE w:val="0"/>
              <w:autoSpaceDN w:val="0"/>
              <w:adjustRightInd w:val="0"/>
              <w:spacing w:after="0" w:line="240" w:lineRule="auto"/>
            </w:pPr>
            <w:r w:rsidRPr="0009131C">
              <w:rPr>
                <w:b/>
              </w:rPr>
              <w:t>Project</w:t>
            </w:r>
            <w:r>
              <w:rPr>
                <w:b/>
              </w:rPr>
              <w:t xml:space="preserve"> </w:t>
            </w:r>
            <w:r w:rsidR="00CD3E4A">
              <w:rPr>
                <w:b/>
              </w:rPr>
              <w:t>Title:</w:t>
            </w:r>
            <w:r w:rsidR="00CD3E4A" w:rsidRPr="00CD3E4A">
              <w:rPr>
                <w:rFonts w:ascii="Times New Roman" w:hAnsi="Times New Roman" w:cs="Times New Roman"/>
              </w:rPr>
              <w:t xml:space="preserve"> </w:t>
            </w:r>
            <w:r w:rsidR="00CD3E4A" w:rsidRPr="00CD3E4A">
              <w:rPr>
                <w:rFonts w:ascii="Times New Roman" w:hAnsi="Times New Roman" w:cs="Times New Roman"/>
                <w:bCs/>
              </w:rPr>
              <w:t>Development of Cornerstone Public Policies and Institutional Capacities to accelerate Sustainable Energy for All (SE4All) Progress</w:t>
            </w:r>
            <w:r w:rsidR="00CD3E4A" w:rsidRPr="0063294A">
              <w:rPr>
                <w:rFonts w:ascii="Times New Roman" w:hAnsi="Times New Roman"/>
                <w:bCs/>
              </w:rPr>
              <w:t>.</w:t>
            </w:r>
          </w:p>
        </w:tc>
      </w:tr>
      <w:tr w:rsidR="00ED327A" w:rsidTr="00ED327A">
        <w:trPr>
          <w:trHeight w:val="287"/>
        </w:trPr>
        <w:tc>
          <w:tcPr>
            <w:tcW w:w="9833" w:type="dxa"/>
            <w:gridSpan w:val="2"/>
          </w:tcPr>
          <w:p w:rsidR="00ED327A" w:rsidRDefault="009D147B" w:rsidP="00ED327A">
            <w:pPr>
              <w:autoSpaceDE w:val="0"/>
              <w:autoSpaceDN w:val="0"/>
              <w:adjustRightInd w:val="0"/>
              <w:spacing w:after="0"/>
            </w:pPr>
            <w:r>
              <w:rPr>
                <w:b/>
              </w:rPr>
              <w:t>Implementing Partner</w:t>
            </w:r>
            <w:r w:rsidR="00ED327A" w:rsidRPr="008F6CD2">
              <w:rPr>
                <w:b/>
              </w:rPr>
              <w:t>:</w:t>
            </w:r>
            <w:r w:rsidR="00CD3E4A">
              <w:rPr>
                <w:b/>
              </w:rPr>
              <w:t xml:space="preserve"> </w:t>
            </w:r>
            <w:r w:rsidR="00CD3E4A" w:rsidRPr="00CD3E4A">
              <w:t>Ministry of Energy and Meteorology</w:t>
            </w:r>
          </w:p>
          <w:p w:rsidR="002B7C65" w:rsidRPr="0009131C" w:rsidRDefault="002B7C65" w:rsidP="00ED327A">
            <w:pPr>
              <w:autoSpaceDE w:val="0"/>
              <w:autoSpaceDN w:val="0"/>
              <w:adjustRightInd w:val="0"/>
              <w:spacing w:after="0"/>
              <w:rPr>
                <w:b/>
              </w:rPr>
            </w:pPr>
          </w:p>
        </w:tc>
      </w:tr>
      <w:tr w:rsidR="00ED327A" w:rsidTr="00ED327A">
        <w:trPr>
          <w:trHeight w:val="242"/>
        </w:trPr>
        <w:tc>
          <w:tcPr>
            <w:tcW w:w="5496" w:type="dxa"/>
          </w:tcPr>
          <w:p w:rsidR="00ED327A" w:rsidRPr="008F6CD2" w:rsidRDefault="00ED327A" w:rsidP="004D21CF">
            <w:pPr>
              <w:autoSpaceDE w:val="0"/>
              <w:autoSpaceDN w:val="0"/>
              <w:adjustRightInd w:val="0"/>
              <w:spacing w:after="0" w:line="240" w:lineRule="auto"/>
              <w:rPr>
                <w:b/>
              </w:rPr>
            </w:pPr>
            <w:r w:rsidRPr="0009131C">
              <w:rPr>
                <w:b/>
              </w:rPr>
              <w:t>Date</w:t>
            </w:r>
            <w:r w:rsidRPr="0005071E">
              <w:t>:</w:t>
            </w:r>
            <w:r>
              <w:t xml:space="preserve"> </w:t>
            </w:r>
            <w:r w:rsidR="002B7C65">
              <w:t xml:space="preserve">13 </w:t>
            </w:r>
            <w:r w:rsidR="004D21CF">
              <w:t>January</w:t>
            </w:r>
            <w:r w:rsidR="00A80559">
              <w:t xml:space="preserve"> 201</w:t>
            </w:r>
            <w:r w:rsidR="004D21CF">
              <w:t>9</w:t>
            </w:r>
          </w:p>
        </w:tc>
        <w:tc>
          <w:tcPr>
            <w:tcW w:w="4337" w:type="dxa"/>
          </w:tcPr>
          <w:p w:rsidR="00ED327A" w:rsidRPr="008F6CD2" w:rsidRDefault="00ED327A" w:rsidP="009824FE">
            <w:pPr>
              <w:autoSpaceDE w:val="0"/>
              <w:autoSpaceDN w:val="0"/>
              <w:adjustRightInd w:val="0"/>
              <w:spacing w:after="0" w:line="240" w:lineRule="auto"/>
              <w:rPr>
                <w:b/>
              </w:rPr>
            </w:pPr>
            <w:r w:rsidRPr="008F6CD2">
              <w:rPr>
                <w:b/>
              </w:rPr>
              <w:t>Reporting Period</w:t>
            </w:r>
            <w:r w:rsidRPr="008F6CD2">
              <w:t>:</w:t>
            </w:r>
            <w:r w:rsidR="00CD3E4A">
              <w:t xml:space="preserve">  </w:t>
            </w:r>
            <w:r w:rsidR="009824FE">
              <w:t>January</w:t>
            </w:r>
            <w:r w:rsidR="002B7C65">
              <w:t xml:space="preserve"> - December</w:t>
            </w:r>
            <w:r w:rsidR="00A049AF">
              <w:t xml:space="preserve"> 2018</w:t>
            </w:r>
          </w:p>
        </w:tc>
      </w:tr>
    </w:tbl>
    <w:p w:rsidR="00F10AF8" w:rsidRDefault="00F10AF8" w:rsidP="00F10AF8">
      <w:pPr>
        <w:spacing w:after="0"/>
        <w:rPr>
          <w:rFonts w:ascii="Arial" w:hAnsi="Arial" w:cs="Arial"/>
          <w:b/>
        </w:rPr>
      </w:pPr>
    </w:p>
    <w:p w:rsidR="00A41ABF" w:rsidRPr="00A41ABF" w:rsidRDefault="00A41ABF" w:rsidP="00C94C5A">
      <w:pPr>
        <w:rPr>
          <w:rFonts w:ascii="Arial" w:hAnsi="Arial" w:cs="Arial"/>
          <w:b/>
        </w:rPr>
      </w:pPr>
      <w:r w:rsidRPr="00A41ABF">
        <w:rPr>
          <w:rFonts w:ascii="Arial" w:hAnsi="Arial" w:cs="Arial"/>
          <w:b/>
        </w:rPr>
        <w:t xml:space="preserve">I. </w:t>
      </w:r>
      <w:r w:rsidR="008B0A98">
        <w:rPr>
          <w:rFonts w:ascii="Arial" w:hAnsi="Arial" w:cs="Arial"/>
          <w:b/>
        </w:rPr>
        <w:t>Results</w:t>
      </w:r>
      <w:r>
        <w:rPr>
          <w:rFonts w:ascii="Arial" w:hAnsi="Arial" w:cs="Arial"/>
          <w:b/>
        </w:rPr>
        <w:t xml:space="preserve"> </w:t>
      </w:r>
      <w:r w:rsidRPr="00A41ABF">
        <w:rPr>
          <w:rFonts w:ascii="Arial" w:hAnsi="Arial" w:cs="Arial"/>
          <w:b/>
        </w:rPr>
        <w:t>Assessment</w:t>
      </w:r>
    </w:p>
    <w:tbl>
      <w:tblPr>
        <w:tblStyle w:val="TableGrid"/>
        <w:tblW w:w="10592" w:type="dxa"/>
        <w:tblInd w:w="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042"/>
        <w:gridCol w:w="1440"/>
        <w:gridCol w:w="1440"/>
        <w:gridCol w:w="4050"/>
        <w:gridCol w:w="1620"/>
      </w:tblGrid>
      <w:tr w:rsidR="0094621E" w:rsidTr="00EE0947">
        <w:trPr>
          <w:trHeight w:val="1276"/>
          <w:tblHeader/>
        </w:trPr>
        <w:tc>
          <w:tcPr>
            <w:tcW w:w="2042" w:type="dxa"/>
            <w:shd w:val="pct15" w:color="auto" w:fill="auto"/>
            <w:vAlign w:val="center"/>
          </w:tcPr>
          <w:p w:rsidR="0094621E" w:rsidRPr="00042BF9" w:rsidRDefault="008C0979" w:rsidP="00836C88">
            <w:pPr>
              <w:spacing w:before="40" w:after="40"/>
              <w:jc w:val="center"/>
              <w:rPr>
                <w:rFonts w:ascii="Arial" w:hAnsi="Arial" w:cs="Arial"/>
                <w:b/>
                <w:bCs/>
                <w:color w:val="000000"/>
              </w:rPr>
            </w:pPr>
            <w:r>
              <w:rPr>
                <w:rFonts w:ascii="Arial" w:hAnsi="Arial" w:cs="Arial"/>
                <w:b/>
                <w:bCs/>
                <w:color w:val="000000"/>
              </w:rPr>
              <w:t>Results</w:t>
            </w:r>
            <w:r w:rsidR="0094621E" w:rsidRPr="00042BF9">
              <w:rPr>
                <w:rFonts w:ascii="Arial" w:hAnsi="Arial" w:cs="Arial"/>
                <w:b/>
                <w:bCs/>
                <w:color w:val="000000"/>
              </w:rPr>
              <w:t xml:space="preserve"> (</w:t>
            </w:r>
            <w:r w:rsidR="0094621E" w:rsidRPr="002C1E5F">
              <w:rPr>
                <w:rFonts w:ascii="Arial" w:hAnsi="Arial" w:cs="Arial"/>
                <w:b/>
                <w:bCs/>
                <w:i/>
                <w:color w:val="000000"/>
                <w:sz w:val="18"/>
                <w:szCs w:val="18"/>
              </w:rPr>
              <w:t xml:space="preserve">extract </w:t>
            </w:r>
            <w:r>
              <w:rPr>
                <w:rFonts w:ascii="Arial" w:hAnsi="Arial" w:cs="Arial"/>
                <w:b/>
                <w:bCs/>
                <w:i/>
                <w:color w:val="000000"/>
                <w:sz w:val="18"/>
                <w:szCs w:val="18"/>
              </w:rPr>
              <w:t xml:space="preserve">outcomes and </w:t>
            </w:r>
            <w:r w:rsidR="0094621E" w:rsidRPr="002C1E5F">
              <w:rPr>
                <w:rFonts w:ascii="Arial" w:hAnsi="Arial" w:cs="Arial"/>
                <w:b/>
                <w:bCs/>
                <w:i/>
                <w:color w:val="000000"/>
                <w:sz w:val="18"/>
                <w:szCs w:val="18"/>
              </w:rPr>
              <w:t>output</w:t>
            </w:r>
            <w:r>
              <w:rPr>
                <w:rFonts w:ascii="Arial" w:hAnsi="Arial" w:cs="Arial"/>
                <w:b/>
                <w:bCs/>
                <w:i/>
                <w:color w:val="000000"/>
                <w:sz w:val="18"/>
                <w:szCs w:val="18"/>
              </w:rPr>
              <w:t>s</w:t>
            </w:r>
            <w:r w:rsidR="0094621E" w:rsidRPr="002C1E5F">
              <w:rPr>
                <w:rFonts w:ascii="Arial" w:hAnsi="Arial" w:cs="Arial"/>
                <w:b/>
                <w:bCs/>
                <w:i/>
                <w:color w:val="000000"/>
                <w:sz w:val="18"/>
                <w:szCs w:val="18"/>
              </w:rPr>
              <w:t xml:space="preserve"> from AWP for reporting period</w:t>
            </w:r>
            <w:r w:rsidR="0094621E" w:rsidRPr="002C1E5F">
              <w:rPr>
                <w:rFonts w:ascii="Arial" w:hAnsi="Arial" w:cs="Arial"/>
                <w:b/>
                <w:bCs/>
                <w:color w:val="000000"/>
                <w:sz w:val="20"/>
                <w:szCs w:val="20"/>
              </w:rPr>
              <w:t>)</w:t>
            </w:r>
          </w:p>
        </w:tc>
        <w:tc>
          <w:tcPr>
            <w:tcW w:w="1440" w:type="dxa"/>
            <w:shd w:val="pct15" w:color="auto" w:fill="auto"/>
            <w:vAlign w:val="center"/>
          </w:tcPr>
          <w:p w:rsidR="0094621E" w:rsidRPr="00042BF9" w:rsidRDefault="0094621E" w:rsidP="00042BF9">
            <w:pPr>
              <w:spacing w:before="40" w:after="40"/>
              <w:jc w:val="center"/>
              <w:rPr>
                <w:rFonts w:ascii="Arial" w:hAnsi="Arial" w:cs="Arial"/>
                <w:b/>
                <w:bCs/>
                <w:color w:val="000000"/>
              </w:rPr>
            </w:pPr>
            <w:r w:rsidRPr="00042BF9">
              <w:rPr>
                <w:rFonts w:ascii="Arial" w:hAnsi="Arial" w:cs="Arial"/>
                <w:b/>
                <w:bCs/>
                <w:color w:val="000000"/>
              </w:rPr>
              <w:t xml:space="preserve">Indicators </w:t>
            </w:r>
            <w:r w:rsidRPr="002C1E5F">
              <w:rPr>
                <w:rFonts w:ascii="Arial" w:hAnsi="Arial" w:cs="Arial"/>
                <w:b/>
                <w:bCs/>
                <w:color w:val="000000"/>
                <w:sz w:val="20"/>
                <w:szCs w:val="20"/>
              </w:rPr>
              <w:t>(</w:t>
            </w:r>
            <w:r w:rsidRPr="002C1E5F">
              <w:rPr>
                <w:rFonts w:ascii="Arial" w:hAnsi="Arial" w:cs="Arial"/>
                <w:b/>
                <w:bCs/>
                <w:i/>
                <w:color w:val="000000"/>
                <w:sz w:val="18"/>
                <w:szCs w:val="18"/>
              </w:rPr>
              <w:t>extract indicators for Outputs being reported on as recorded in AWP</w:t>
            </w:r>
            <w:r w:rsidRPr="002C1E5F">
              <w:rPr>
                <w:rFonts w:ascii="Arial" w:hAnsi="Arial" w:cs="Arial"/>
                <w:b/>
                <w:bCs/>
                <w:color w:val="000000"/>
                <w:sz w:val="20"/>
                <w:szCs w:val="20"/>
              </w:rPr>
              <w:t>)</w:t>
            </w:r>
          </w:p>
        </w:tc>
        <w:tc>
          <w:tcPr>
            <w:tcW w:w="1440" w:type="dxa"/>
            <w:shd w:val="pct15" w:color="auto" w:fill="auto"/>
            <w:vAlign w:val="center"/>
          </w:tcPr>
          <w:p w:rsidR="0094621E" w:rsidRPr="00042BF9" w:rsidRDefault="0094621E" w:rsidP="00836C88">
            <w:pPr>
              <w:spacing w:before="40" w:after="40"/>
              <w:jc w:val="center"/>
              <w:rPr>
                <w:rFonts w:ascii="Arial" w:hAnsi="Arial" w:cs="Arial"/>
                <w:b/>
                <w:bCs/>
                <w:color w:val="000000"/>
              </w:rPr>
            </w:pPr>
            <w:r w:rsidRPr="00042BF9">
              <w:rPr>
                <w:rFonts w:ascii="Arial" w:hAnsi="Arial" w:cs="Arial"/>
                <w:b/>
                <w:bCs/>
                <w:color w:val="000000"/>
              </w:rPr>
              <w:t>Target (s)</w:t>
            </w:r>
          </w:p>
          <w:p w:rsidR="0094621E" w:rsidRPr="002C1E5F" w:rsidRDefault="0094621E" w:rsidP="00836C88">
            <w:pPr>
              <w:spacing w:before="40" w:after="40"/>
              <w:jc w:val="center"/>
              <w:rPr>
                <w:rFonts w:ascii="Arial" w:hAnsi="Arial" w:cs="Arial"/>
                <w:b/>
                <w:bCs/>
                <w:color w:val="000000"/>
                <w:sz w:val="20"/>
                <w:szCs w:val="20"/>
              </w:rPr>
            </w:pPr>
            <w:r w:rsidRPr="002C1E5F">
              <w:rPr>
                <w:rFonts w:ascii="Arial" w:hAnsi="Arial" w:cs="Arial"/>
                <w:b/>
                <w:bCs/>
                <w:color w:val="000000"/>
                <w:sz w:val="20"/>
                <w:szCs w:val="20"/>
              </w:rPr>
              <w:t>(</w:t>
            </w:r>
            <w:r w:rsidRPr="002C1E5F">
              <w:rPr>
                <w:rFonts w:ascii="Arial" w:hAnsi="Arial" w:cs="Arial"/>
                <w:b/>
                <w:bCs/>
                <w:i/>
                <w:color w:val="000000"/>
                <w:sz w:val="18"/>
                <w:szCs w:val="18"/>
              </w:rPr>
              <w:t>extract from AWP</w:t>
            </w:r>
            <w:r w:rsidRPr="002C1E5F">
              <w:rPr>
                <w:rFonts w:ascii="Arial" w:hAnsi="Arial" w:cs="Arial"/>
                <w:b/>
                <w:bCs/>
                <w:color w:val="000000"/>
                <w:sz w:val="20"/>
                <w:szCs w:val="20"/>
              </w:rPr>
              <w:t>)</w:t>
            </w:r>
          </w:p>
        </w:tc>
        <w:tc>
          <w:tcPr>
            <w:tcW w:w="4050" w:type="dxa"/>
            <w:shd w:val="pct15" w:color="auto" w:fill="auto"/>
            <w:vAlign w:val="center"/>
          </w:tcPr>
          <w:p w:rsidR="0094621E" w:rsidRPr="00042BF9" w:rsidRDefault="0094621E" w:rsidP="00836C88">
            <w:pPr>
              <w:spacing w:before="40" w:after="40"/>
              <w:jc w:val="center"/>
              <w:rPr>
                <w:rFonts w:ascii="Arial" w:hAnsi="Arial" w:cs="Arial"/>
                <w:b/>
                <w:bCs/>
                <w:color w:val="000000"/>
              </w:rPr>
            </w:pPr>
            <w:r w:rsidRPr="00042BF9">
              <w:rPr>
                <w:rFonts w:ascii="Arial" w:hAnsi="Arial" w:cs="Arial"/>
                <w:b/>
                <w:bCs/>
                <w:color w:val="000000"/>
              </w:rPr>
              <w:t xml:space="preserve">Results Achieved </w:t>
            </w:r>
            <w:r w:rsidRPr="002C1E5F">
              <w:rPr>
                <w:rFonts w:ascii="Arial" w:hAnsi="Arial" w:cs="Arial"/>
                <w:b/>
                <w:bCs/>
                <w:color w:val="000000"/>
                <w:sz w:val="20"/>
                <w:szCs w:val="20"/>
              </w:rPr>
              <w:t>(</w:t>
            </w:r>
            <w:r w:rsidRPr="002C1E5F">
              <w:rPr>
                <w:rFonts w:ascii="Arial" w:hAnsi="Arial" w:cs="Arial"/>
                <w:b/>
                <w:bCs/>
                <w:i/>
                <w:color w:val="000000"/>
                <w:sz w:val="18"/>
                <w:szCs w:val="18"/>
              </w:rPr>
              <w:t xml:space="preserve">per </w:t>
            </w:r>
            <w:r>
              <w:rPr>
                <w:rFonts w:ascii="Arial" w:hAnsi="Arial" w:cs="Arial"/>
                <w:b/>
                <w:bCs/>
                <w:i/>
                <w:color w:val="000000"/>
                <w:sz w:val="18"/>
                <w:szCs w:val="18"/>
              </w:rPr>
              <w:t>outcome/</w:t>
            </w:r>
            <w:r w:rsidRPr="002C1E5F">
              <w:rPr>
                <w:rFonts w:ascii="Arial" w:hAnsi="Arial" w:cs="Arial"/>
                <w:b/>
                <w:bCs/>
                <w:i/>
                <w:color w:val="000000"/>
                <w:sz w:val="18"/>
                <w:szCs w:val="18"/>
              </w:rPr>
              <w:t>output for the reporting period. This should include a description of targets achieved in the quarter</w:t>
            </w:r>
            <w:r w:rsidRPr="002C1E5F">
              <w:rPr>
                <w:rFonts w:ascii="Arial" w:hAnsi="Arial" w:cs="Arial"/>
                <w:b/>
                <w:bCs/>
                <w:color w:val="000000"/>
                <w:sz w:val="20"/>
                <w:szCs w:val="20"/>
              </w:rPr>
              <w:t>)</w:t>
            </w:r>
          </w:p>
        </w:tc>
        <w:tc>
          <w:tcPr>
            <w:tcW w:w="1620" w:type="dxa"/>
            <w:shd w:val="pct15" w:color="auto" w:fill="auto"/>
            <w:vAlign w:val="center"/>
          </w:tcPr>
          <w:p w:rsidR="0094621E" w:rsidRPr="00042BF9" w:rsidRDefault="0094621E" w:rsidP="00836C88">
            <w:pPr>
              <w:spacing w:before="40" w:after="40"/>
              <w:jc w:val="center"/>
              <w:rPr>
                <w:rFonts w:ascii="Arial" w:hAnsi="Arial" w:cs="Arial"/>
                <w:b/>
                <w:bCs/>
                <w:color w:val="000000"/>
              </w:rPr>
            </w:pPr>
            <w:r w:rsidRPr="00042BF9">
              <w:rPr>
                <w:rFonts w:ascii="Arial" w:hAnsi="Arial" w:cs="Arial"/>
                <w:b/>
                <w:bCs/>
                <w:color w:val="000000"/>
              </w:rPr>
              <w:t xml:space="preserve">Challenges </w:t>
            </w:r>
            <w:r w:rsidRPr="002C1E5F">
              <w:rPr>
                <w:rFonts w:ascii="Arial" w:hAnsi="Arial" w:cs="Arial"/>
                <w:b/>
                <w:bCs/>
                <w:color w:val="000000"/>
                <w:sz w:val="20"/>
                <w:szCs w:val="20"/>
              </w:rPr>
              <w:t>(</w:t>
            </w:r>
            <w:r w:rsidRPr="002C1E5F">
              <w:rPr>
                <w:rFonts w:ascii="Arial" w:hAnsi="Arial" w:cs="Arial"/>
                <w:b/>
                <w:bCs/>
                <w:color w:val="000000"/>
                <w:sz w:val="18"/>
                <w:szCs w:val="18"/>
              </w:rPr>
              <w:t>state difficulties encountered in implementing activities</w:t>
            </w:r>
            <w:r w:rsidRPr="002C1E5F">
              <w:rPr>
                <w:rFonts w:ascii="Arial" w:hAnsi="Arial" w:cs="Arial"/>
                <w:b/>
                <w:bCs/>
                <w:color w:val="000000"/>
                <w:sz w:val="20"/>
                <w:szCs w:val="20"/>
              </w:rPr>
              <w:t>)</w:t>
            </w:r>
          </w:p>
        </w:tc>
      </w:tr>
      <w:tr w:rsidR="008F6CD2" w:rsidTr="000818C1">
        <w:trPr>
          <w:trHeight w:val="322"/>
        </w:trPr>
        <w:tc>
          <w:tcPr>
            <w:tcW w:w="10592" w:type="dxa"/>
            <w:gridSpan w:val="5"/>
            <w:tcBorders>
              <w:bottom w:val="single" w:sz="4" w:space="0" w:color="auto"/>
            </w:tcBorders>
          </w:tcPr>
          <w:p w:rsidR="008F6CD2" w:rsidRPr="001C5F45" w:rsidRDefault="008F6CD2" w:rsidP="004D04BF">
            <w:pPr>
              <w:rPr>
                <w:rFonts w:ascii="Times New Roman" w:hAnsi="Times New Roman" w:cs="Times New Roman"/>
                <w:b/>
                <w:bCs/>
              </w:rPr>
            </w:pPr>
            <w:r w:rsidRPr="001C5F45">
              <w:rPr>
                <w:rFonts w:ascii="Times New Roman" w:eastAsia="Times New Roman" w:hAnsi="Times New Roman" w:cs="Times New Roman"/>
                <w:b/>
                <w:color w:val="000000"/>
              </w:rPr>
              <w:t>Outcomes</w:t>
            </w:r>
            <w:bookmarkStart w:id="0" w:name="_Hlk495398418"/>
            <w:r w:rsidR="00CD3E4A" w:rsidRPr="001C5F45">
              <w:rPr>
                <w:rFonts w:ascii="Times New Roman" w:hAnsi="Times New Roman" w:cs="Times New Roman"/>
                <w:b/>
                <w:bCs/>
              </w:rPr>
              <w:t xml:space="preserve"> 1 – </w:t>
            </w:r>
            <w:r w:rsidR="00CD3E4A" w:rsidRPr="001C5F45">
              <w:rPr>
                <w:rFonts w:ascii="Times New Roman" w:hAnsi="Times New Roman" w:cs="Times New Roman"/>
                <w:bCs/>
              </w:rPr>
              <w:t>SE4All cornerstone policies and strategies facilitating (increased) investment in RET deployment, particularly in isolated mini-grids</w:t>
            </w:r>
            <w:r w:rsidR="00CD3E4A" w:rsidRPr="001C5F45">
              <w:rPr>
                <w:rFonts w:ascii="Times New Roman" w:hAnsi="Times New Roman" w:cs="Times New Roman"/>
                <w:b/>
                <w:bCs/>
              </w:rPr>
              <w:t>.</w:t>
            </w:r>
            <w:bookmarkEnd w:id="0"/>
          </w:p>
        </w:tc>
      </w:tr>
      <w:tr w:rsidR="008F6CD2" w:rsidTr="000818C1">
        <w:trPr>
          <w:trHeight w:val="284"/>
        </w:trPr>
        <w:tc>
          <w:tcPr>
            <w:tcW w:w="10592" w:type="dxa"/>
            <w:gridSpan w:val="5"/>
            <w:tcBorders>
              <w:bottom w:val="single" w:sz="4" w:space="0" w:color="auto"/>
            </w:tcBorders>
          </w:tcPr>
          <w:p w:rsidR="00C877C2" w:rsidRPr="00C877C2" w:rsidRDefault="00C877C2" w:rsidP="00C877C2">
            <w:pPr>
              <w:pStyle w:val="ListParagraph"/>
              <w:numPr>
                <w:ilvl w:val="0"/>
                <w:numId w:val="7"/>
              </w:numPr>
              <w:autoSpaceDE w:val="0"/>
              <w:autoSpaceDN w:val="0"/>
              <w:adjustRightInd w:val="0"/>
              <w:ind w:right="-608"/>
              <w:rPr>
                <w:rFonts w:ascii="Times New Roman" w:hAnsi="Times New Roman"/>
                <w:bCs/>
              </w:rPr>
            </w:pPr>
            <w:r w:rsidRPr="00C877C2">
              <w:rPr>
                <w:rFonts w:ascii="Times New Roman" w:hAnsi="Times New Roman"/>
                <w:b/>
                <w:bCs/>
              </w:rPr>
              <w:t>Output 1.1:</w:t>
            </w:r>
            <w:r w:rsidRPr="00C877C2">
              <w:rPr>
                <w:rFonts w:ascii="Times New Roman" w:hAnsi="Times New Roman"/>
                <w:bCs/>
              </w:rPr>
              <w:t xml:space="preserve"> Developed and approved SE4All Country Action Agenda (CAA), following extensive stakeholder                                        </w:t>
            </w:r>
          </w:p>
          <w:p w:rsidR="00C877C2" w:rsidRPr="00C877C2" w:rsidRDefault="00C877C2" w:rsidP="00C877C2">
            <w:pPr>
              <w:pStyle w:val="ListParagraph"/>
              <w:autoSpaceDE w:val="0"/>
              <w:autoSpaceDN w:val="0"/>
              <w:adjustRightInd w:val="0"/>
              <w:ind w:left="12" w:right="-608"/>
              <w:rPr>
                <w:rFonts w:ascii="Times New Roman" w:hAnsi="Times New Roman"/>
                <w:bCs/>
              </w:rPr>
            </w:pPr>
            <w:r>
              <w:rPr>
                <w:rFonts w:ascii="Times New Roman" w:hAnsi="Times New Roman"/>
                <w:bCs/>
              </w:rPr>
              <w:t>consu</w:t>
            </w:r>
            <w:r w:rsidRPr="00C877C2">
              <w:rPr>
                <w:rFonts w:ascii="Times New Roman" w:hAnsi="Times New Roman"/>
                <w:bCs/>
              </w:rPr>
              <w:t>ltations.</w:t>
            </w:r>
          </w:p>
          <w:p w:rsidR="008F6CD2" w:rsidRDefault="008F6CD2" w:rsidP="003A0823">
            <w:pPr>
              <w:spacing w:before="40" w:after="40"/>
            </w:pPr>
          </w:p>
        </w:tc>
      </w:tr>
      <w:tr w:rsidR="008F6CD2" w:rsidTr="00EE0947">
        <w:trPr>
          <w:trHeight w:val="2807"/>
        </w:trPr>
        <w:tc>
          <w:tcPr>
            <w:tcW w:w="2042" w:type="dxa"/>
            <w:tcBorders>
              <w:top w:val="single" w:sz="4" w:space="0" w:color="auto"/>
              <w:bottom w:val="single" w:sz="4" w:space="0" w:color="auto"/>
            </w:tcBorders>
          </w:tcPr>
          <w:p w:rsidR="008F6CD2" w:rsidRPr="00D24684" w:rsidRDefault="00897CBB" w:rsidP="00897CBB">
            <w:pPr>
              <w:spacing w:before="40" w:after="40"/>
              <w:rPr>
                <w:color w:val="000000"/>
                <w:sz w:val="20"/>
                <w:szCs w:val="20"/>
              </w:rPr>
            </w:pPr>
            <w:r w:rsidRPr="00D24684">
              <w:rPr>
                <w:color w:val="000000"/>
                <w:sz w:val="20"/>
                <w:szCs w:val="20"/>
              </w:rPr>
              <w:t xml:space="preserve">Country Action Agenda developed and approved  </w:t>
            </w:r>
          </w:p>
        </w:tc>
        <w:tc>
          <w:tcPr>
            <w:tcW w:w="1440" w:type="dxa"/>
            <w:tcBorders>
              <w:top w:val="single" w:sz="4" w:space="0" w:color="auto"/>
              <w:bottom w:val="single" w:sz="4" w:space="0" w:color="auto"/>
            </w:tcBorders>
          </w:tcPr>
          <w:p w:rsidR="008F6CD2" w:rsidRPr="00D24684" w:rsidRDefault="00897CBB" w:rsidP="00836C88">
            <w:pPr>
              <w:pStyle w:val="ListParagraph"/>
              <w:spacing w:before="40" w:after="40"/>
              <w:ind w:left="162"/>
              <w:rPr>
                <w:color w:val="000000"/>
                <w:sz w:val="20"/>
                <w:szCs w:val="20"/>
              </w:rPr>
            </w:pPr>
            <w:r w:rsidRPr="00D24684">
              <w:rPr>
                <w:color w:val="000000"/>
                <w:sz w:val="20"/>
                <w:szCs w:val="20"/>
              </w:rPr>
              <w:t xml:space="preserve">Existence of Country Action Agenda </w:t>
            </w:r>
          </w:p>
        </w:tc>
        <w:tc>
          <w:tcPr>
            <w:tcW w:w="1440" w:type="dxa"/>
            <w:tcBorders>
              <w:top w:val="single" w:sz="4" w:space="0" w:color="auto"/>
              <w:bottom w:val="single" w:sz="4" w:space="0" w:color="auto"/>
            </w:tcBorders>
          </w:tcPr>
          <w:p w:rsidR="008F6CD2" w:rsidRPr="00D24684" w:rsidRDefault="00897CBB" w:rsidP="00E12A65">
            <w:pPr>
              <w:rPr>
                <w:sz w:val="20"/>
                <w:szCs w:val="20"/>
              </w:rPr>
            </w:pPr>
            <w:r w:rsidRPr="00D24684">
              <w:rPr>
                <w:sz w:val="20"/>
                <w:szCs w:val="20"/>
              </w:rPr>
              <w:t>Country Action Agenda(CAA) developed within 12 months of project initiation</w:t>
            </w:r>
          </w:p>
        </w:tc>
        <w:tc>
          <w:tcPr>
            <w:tcW w:w="4050" w:type="dxa"/>
            <w:tcBorders>
              <w:top w:val="single" w:sz="4" w:space="0" w:color="auto"/>
              <w:bottom w:val="single" w:sz="4" w:space="0" w:color="auto"/>
            </w:tcBorders>
          </w:tcPr>
          <w:p w:rsidR="009F6AFA" w:rsidRDefault="00013E32" w:rsidP="004D21CF">
            <w:pPr>
              <w:autoSpaceDE w:val="0"/>
              <w:autoSpaceDN w:val="0"/>
              <w:adjustRightInd w:val="0"/>
              <w:ind w:right="-288"/>
              <w:rPr>
                <w:color w:val="000000"/>
                <w:sz w:val="20"/>
                <w:szCs w:val="20"/>
              </w:rPr>
            </w:pPr>
            <w:r>
              <w:rPr>
                <w:color w:val="000000"/>
                <w:sz w:val="20"/>
                <w:szCs w:val="20"/>
              </w:rPr>
              <w:t>SE</w:t>
            </w:r>
            <w:r w:rsidR="00631C51">
              <w:rPr>
                <w:color w:val="000000"/>
                <w:sz w:val="20"/>
                <w:szCs w:val="20"/>
              </w:rPr>
              <w:t>4All Country Action A</w:t>
            </w:r>
            <w:r w:rsidR="00846D48">
              <w:rPr>
                <w:color w:val="000000"/>
                <w:sz w:val="20"/>
                <w:szCs w:val="20"/>
              </w:rPr>
              <w:t>genda</w:t>
            </w:r>
            <w:r w:rsidR="00631C51">
              <w:rPr>
                <w:color w:val="000000"/>
                <w:sz w:val="20"/>
                <w:szCs w:val="20"/>
              </w:rPr>
              <w:t>(CAA)</w:t>
            </w:r>
            <w:r w:rsidR="00846D48">
              <w:rPr>
                <w:color w:val="000000"/>
                <w:sz w:val="20"/>
                <w:szCs w:val="20"/>
              </w:rPr>
              <w:t xml:space="preserve"> for Lesotho </w:t>
            </w:r>
            <w:r w:rsidR="00631C51">
              <w:rPr>
                <w:color w:val="000000"/>
                <w:sz w:val="20"/>
                <w:szCs w:val="20"/>
              </w:rPr>
              <w:t xml:space="preserve"> </w:t>
            </w:r>
            <w:r w:rsidR="00846D48">
              <w:rPr>
                <w:color w:val="000000"/>
                <w:sz w:val="20"/>
                <w:szCs w:val="20"/>
              </w:rPr>
              <w:t xml:space="preserve">         </w:t>
            </w:r>
            <w:r w:rsidR="004D21CF">
              <w:rPr>
                <w:color w:val="000000"/>
                <w:sz w:val="20"/>
                <w:szCs w:val="20"/>
              </w:rPr>
              <w:t xml:space="preserve">was </w:t>
            </w:r>
            <w:r w:rsidR="009824FE">
              <w:rPr>
                <w:color w:val="000000"/>
                <w:sz w:val="20"/>
                <w:szCs w:val="20"/>
              </w:rPr>
              <w:t xml:space="preserve">developed and validated by stakeholders in </w:t>
            </w:r>
            <w:r w:rsidR="00846D48" w:rsidRPr="00A81605">
              <w:rPr>
                <w:rFonts w:ascii="Times New Roman" w:hAnsi="Times New Roman"/>
                <w:color w:val="000000"/>
              </w:rPr>
              <w:t xml:space="preserve">October 2018. </w:t>
            </w:r>
            <w:r w:rsidR="009824FE">
              <w:rPr>
                <w:rFonts w:ascii="Times New Roman" w:hAnsi="Times New Roman"/>
                <w:color w:val="000000"/>
              </w:rPr>
              <w:t xml:space="preserve">The </w:t>
            </w:r>
            <w:r w:rsidR="00FF5F97">
              <w:rPr>
                <w:rFonts w:ascii="Times New Roman" w:hAnsi="Times New Roman"/>
              </w:rPr>
              <w:t xml:space="preserve">CAA will be </w:t>
            </w:r>
            <w:r w:rsidR="009824FE">
              <w:rPr>
                <w:rFonts w:ascii="Times New Roman" w:hAnsi="Times New Roman"/>
              </w:rPr>
              <w:t xml:space="preserve">presented to Cabinet for approval, </w:t>
            </w:r>
            <w:r w:rsidR="004D21CF">
              <w:rPr>
                <w:rFonts w:ascii="Times New Roman" w:hAnsi="Times New Roman"/>
              </w:rPr>
              <w:t xml:space="preserve">after which it will be </w:t>
            </w:r>
            <w:r w:rsidR="009824FE">
              <w:rPr>
                <w:rFonts w:ascii="Times New Roman" w:hAnsi="Times New Roman"/>
              </w:rPr>
              <w:t>publicized to</w:t>
            </w:r>
            <w:r w:rsidR="00FF5F97">
              <w:rPr>
                <w:rFonts w:ascii="Times New Roman" w:hAnsi="Times New Roman"/>
              </w:rPr>
              <w:t xml:space="preserve"> attract investors</w:t>
            </w:r>
            <w:r w:rsidR="00846D48" w:rsidRPr="00A81605">
              <w:rPr>
                <w:rFonts w:ascii="Times New Roman" w:hAnsi="Times New Roman"/>
              </w:rPr>
              <w:t>.</w:t>
            </w:r>
            <w:r w:rsidR="00631C51">
              <w:rPr>
                <w:color w:val="000000"/>
                <w:sz w:val="20"/>
                <w:szCs w:val="20"/>
              </w:rPr>
              <w:t xml:space="preserve">         </w:t>
            </w:r>
          </w:p>
          <w:p w:rsidR="00655537" w:rsidRDefault="00655537" w:rsidP="004D21CF">
            <w:pPr>
              <w:autoSpaceDE w:val="0"/>
              <w:autoSpaceDN w:val="0"/>
              <w:adjustRightInd w:val="0"/>
              <w:ind w:right="-288"/>
              <w:rPr>
                <w:color w:val="000000"/>
                <w:sz w:val="20"/>
                <w:szCs w:val="20"/>
              </w:rPr>
            </w:pPr>
          </w:p>
          <w:p w:rsidR="00655537" w:rsidRPr="00655537" w:rsidRDefault="00655537" w:rsidP="00655537">
            <w:pPr>
              <w:jc w:val="both"/>
            </w:pPr>
            <w:r w:rsidRPr="00655537">
              <w:t xml:space="preserve">CAA </w:t>
            </w:r>
            <w:r w:rsidRPr="00655537">
              <w:t>is a strategy-driven and holistic document acting as an umbrella for energy sector development at national level.</w:t>
            </w:r>
          </w:p>
        </w:tc>
        <w:tc>
          <w:tcPr>
            <w:tcW w:w="1620" w:type="dxa"/>
            <w:tcBorders>
              <w:top w:val="single" w:sz="4" w:space="0" w:color="auto"/>
              <w:bottom w:val="single" w:sz="4" w:space="0" w:color="auto"/>
            </w:tcBorders>
          </w:tcPr>
          <w:p w:rsidR="008F6CD2" w:rsidRDefault="008F6CD2" w:rsidP="003A0823">
            <w:pPr>
              <w:spacing w:before="40" w:after="40"/>
            </w:pPr>
          </w:p>
        </w:tc>
      </w:tr>
      <w:tr w:rsidR="00062A8F" w:rsidTr="000818C1">
        <w:trPr>
          <w:trHeight w:val="494"/>
        </w:trPr>
        <w:tc>
          <w:tcPr>
            <w:tcW w:w="10592" w:type="dxa"/>
            <w:gridSpan w:val="5"/>
            <w:tcBorders>
              <w:top w:val="single" w:sz="4" w:space="0" w:color="auto"/>
              <w:bottom w:val="single" w:sz="4" w:space="0" w:color="auto"/>
            </w:tcBorders>
          </w:tcPr>
          <w:p w:rsidR="00062A8F" w:rsidRDefault="00062A8F" w:rsidP="00062A8F">
            <w:pPr>
              <w:spacing w:before="40" w:after="40"/>
            </w:pPr>
            <w:r w:rsidRPr="00C877C2">
              <w:rPr>
                <w:rFonts w:ascii="Times New Roman" w:hAnsi="Times New Roman"/>
                <w:b/>
                <w:bCs/>
              </w:rPr>
              <w:t>Output 1.2:</w:t>
            </w:r>
            <w:r w:rsidRPr="000737C3">
              <w:rPr>
                <w:rFonts w:ascii="Times New Roman" w:hAnsi="Times New Roman"/>
                <w:bCs/>
              </w:rPr>
              <w:t xml:space="preserve"> Approved/adopted SE4All Investment Prospectus (IP), following extensive stakeholder consultations.</w:t>
            </w:r>
          </w:p>
        </w:tc>
      </w:tr>
      <w:tr w:rsidR="00062A8F" w:rsidTr="00EE0947">
        <w:trPr>
          <w:trHeight w:val="1055"/>
        </w:trPr>
        <w:tc>
          <w:tcPr>
            <w:tcW w:w="2042" w:type="dxa"/>
            <w:tcBorders>
              <w:top w:val="single" w:sz="4" w:space="0" w:color="auto"/>
              <w:bottom w:val="single" w:sz="4" w:space="0" w:color="auto"/>
            </w:tcBorders>
          </w:tcPr>
          <w:p w:rsidR="00062A8F" w:rsidRPr="00F77CE0" w:rsidRDefault="001C5F45" w:rsidP="00897CBB">
            <w:pPr>
              <w:pStyle w:val="ListParagraph"/>
              <w:spacing w:before="40" w:after="40"/>
              <w:ind w:left="162"/>
              <w:rPr>
                <w:color w:val="000000"/>
              </w:rPr>
            </w:pPr>
            <w:r>
              <w:rPr>
                <w:color w:val="000000"/>
              </w:rPr>
              <w:t xml:space="preserve">Investment </w:t>
            </w:r>
            <w:r w:rsidR="00897CBB" w:rsidRPr="00F77CE0">
              <w:rPr>
                <w:color w:val="000000"/>
              </w:rPr>
              <w:t xml:space="preserve">Prospectus developed and approved  </w:t>
            </w:r>
          </w:p>
        </w:tc>
        <w:tc>
          <w:tcPr>
            <w:tcW w:w="1440" w:type="dxa"/>
            <w:tcBorders>
              <w:top w:val="single" w:sz="4" w:space="0" w:color="auto"/>
              <w:bottom w:val="single" w:sz="4" w:space="0" w:color="auto"/>
            </w:tcBorders>
          </w:tcPr>
          <w:p w:rsidR="00062A8F" w:rsidRPr="00F77CE0" w:rsidRDefault="00897CBB" w:rsidP="00062A8F">
            <w:pPr>
              <w:pStyle w:val="ListParagraph"/>
              <w:spacing w:before="40" w:after="40"/>
              <w:ind w:left="162"/>
              <w:rPr>
                <w:color w:val="000000"/>
              </w:rPr>
            </w:pPr>
            <w:r w:rsidRPr="00F77CE0">
              <w:rPr>
                <w:color w:val="000000"/>
              </w:rPr>
              <w:t xml:space="preserve">Existence of Investment Prospectus  </w:t>
            </w:r>
          </w:p>
        </w:tc>
        <w:tc>
          <w:tcPr>
            <w:tcW w:w="1440" w:type="dxa"/>
            <w:tcBorders>
              <w:top w:val="single" w:sz="4" w:space="0" w:color="auto"/>
              <w:bottom w:val="single" w:sz="4" w:space="0" w:color="auto"/>
            </w:tcBorders>
          </w:tcPr>
          <w:p w:rsidR="00062A8F" w:rsidRDefault="00897CBB" w:rsidP="00062A8F">
            <w:r>
              <w:t>I</w:t>
            </w:r>
            <w:r w:rsidR="00555CBF">
              <w:t>nvestment Prospectus(IP)</w:t>
            </w:r>
            <w:r w:rsidRPr="00897CBB">
              <w:t xml:space="preserve"> developed within 12 months of project initiation</w:t>
            </w:r>
          </w:p>
        </w:tc>
        <w:tc>
          <w:tcPr>
            <w:tcW w:w="4050" w:type="dxa"/>
            <w:tcBorders>
              <w:top w:val="single" w:sz="4" w:space="0" w:color="auto"/>
              <w:bottom w:val="single" w:sz="4" w:space="0" w:color="auto"/>
            </w:tcBorders>
          </w:tcPr>
          <w:p w:rsidR="00655537" w:rsidRDefault="00D55B2B" w:rsidP="009824FE">
            <w:pPr>
              <w:autoSpaceDE w:val="0"/>
              <w:autoSpaceDN w:val="0"/>
              <w:adjustRightInd w:val="0"/>
              <w:ind w:right="-288"/>
              <w:rPr>
                <w:color w:val="000000"/>
                <w:sz w:val="20"/>
                <w:szCs w:val="20"/>
              </w:rPr>
            </w:pPr>
            <w:r>
              <w:rPr>
                <w:color w:val="000000"/>
                <w:sz w:val="20"/>
                <w:szCs w:val="20"/>
              </w:rPr>
              <w:t>SE</w:t>
            </w:r>
            <w:r w:rsidR="00FF5F97">
              <w:rPr>
                <w:color w:val="000000"/>
                <w:sz w:val="20"/>
                <w:szCs w:val="20"/>
              </w:rPr>
              <w:t xml:space="preserve">4All Investment Prospectus (IP) for Lesotho           was </w:t>
            </w:r>
            <w:r w:rsidR="009824FE">
              <w:rPr>
                <w:color w:val="000000"/>
                <w:sz w:val="20"/>
                <w:szCs w:val="20"/>
              </w:rPr>
              <w:t xml:space="preserve">developed and validated by stakeholders in </w:t>
            </w:r>
            <w:r w:rsidR="00FF5F97" w:rsidRPr="00A81605">
              <w:rPr>
                <w:rFonts w:ascii="Times New Roman" w:hAnsi="Times New Roman"/>
                <w:color w:val="000000"/>
              </w:rPr>
              <w:t>October 2018.</w:t>
            </w:r>
            <w:r w:rsidR="009824FE">
              <w:rPr>
                <w:rFonts w:ascii="Times New Roman" w:hAnsi="Times New Roman"/>
                <w:color w:val="000000"/>
              </w:rPr>
              <w:t xml:space="preserve"> The IP</w:t>
            </w:r>
            <w:r w:rsidR="009824FE">
              <w:rPr>
                <w:rFonts w:ascii="Times New Roman" w:hAnsi="Times New Roman"/>
              </w:rPr>
              <w:t xml:space="preserve"> will then be presented to Cabinet for approval, then publicized to attract investors</w:t>
            </w:r>
            <w:r w:rsidR="009824FE" w:rsidRPr="00A81605">
              <w:rPr>
                <w:rFonts w:ascii="Times New Roman" w:hAnsi="Times New Roman"/>
              </w:rPr>
              <w:t>.</w:t>
            </w:r>
            <w:r w:rsidR="009824FE">
              <w:rPr>
                <w:color w:val="000000"/>
                <w:sz w:val="20"/>
                <w:szCs w:val="20"/>
              </w:rPr>
              <w:t xml:space="preserve">    </w:t>
            </w:r>
          </w:p>
          <w:p w:rsidR="00655537" w:rsidRDefault="00655537" w:rsidP="00655537">
            <w:pPr>
              <w:rPr>
                <w:color w:val="000000"/>
                <w:sz w:val="20"/>
                <w:szCs w:val="20"/>
              </w:rPr>
            </w:pPr>
          </w:p>
          <w:p w:rsidR="00655537" w:rsidRDefault="00655537" w:rsidP="00655537">
            <w:r>
              <w:t>IP provides an approach to operationalize the CAA by identifying and developing a set of implementable programmes and projects, including their investment requirements, that can be presented to potential private and public investors.</w:t>
            </w:r>
          </w:p>
          <w:p w:rsidR="00062A8F" w:rsidRPr="000F43E3" w:rsidRDefault="009824FE" w:rsidP="009824FE">
            <w:pPr>
              <w:autoSpaceDE w:val="0"/>
              <w:autoSpaceDN w:val="0"/>
              <w:adjustRightInd w:val="0"/>
              <w:ind w:right="-288"/>
              <w:rPr>
                <w:color w:val="000000"/>
                <w:sz w:val="20"/>
                <w:szCs w:val="20"/>
              </w:rPr>
            </w:pPr>
            <w:r>
              <w:rPr>
                <w:color w:val="000000"/>
                <w:sz w:val="20"/>
                <w:szCs w:val="20"/>
              </w:rPr>
              <w:t xml:space="preserve">     </w:t>
            </w:r>
            <w:r w:rsidR="00FF5F97">
              <w:rPr>
                <w:color w:val="000000"/>
                <w:sz w:val="20"/>
                <w:szCs w:val="20"/>
              </w:rPr>
              <w:t xml:space="preserve">         </w:t>
            </w:r>
          </w:p>
        </w:tc>
        <w:tc>
          <w:tcPr>
            <w:tcW w:w="1620" w:type="dxa"/>
            <w:tcBorders>
              <w:top w:val="single" w:sz="4" w:space="0" w:color="auto"/>
              <w:bottom w:val="single" w:sz="4" w:space="0" w:color="auto"/>
            </w:tcBorders>
          </w:tcPr>
          <w:p w:rsidR="00062A8F" w:rsidRDefault="00062A8F" w:rsidP="00062A8F">
            <w:pPr>
              <w:spacing w:before="40" w:after="40"/>
            </w:pPr>
            <w:bookmarkStart w:id="1" w:name="_GoBack"/>
            <w:bookmarkEnd w:id="1"/>
          </w:p>
        </w:tc>
      </w:tr>
      <w:tr w:rsidR="00062A8F" w:rsidTr="000818C1">
        <w:trPr>
          <w:trHeight w:val="449"/>
        </w:trPr>
        <w:tc>
          <w:tcPr>
            <w:tcW w:w="10592" w:type="dxa"/>
            <w:gridSpan w:val="5"/>
            <w:tcBorders>
              <w:top w:val="single" w:sz="4" w:space="0" w:color="auto"/>
              <w:bottom w:val="single" w:sz="4" w:space="0" w:color="auto"/>
            </w:tcBorders>
          </w:tcPr>
          <w:p w:rsidR="00062A8F" w:rsidRDefault="00062A8F" w:rsidP="00062A8F">
            <w:pPr>
              <w:spacing w:before="40" w:after="40"/>
            </w:pPr>
            <w:r w:rsidRPr="00C877C2">
              <w:rPr>
                <w:rFonts w:ascii="Times New Roman" w:hAnsi="Times New Roman"/>
                <w:b/>
                <w:bCs/>
              </w:rPr>
              <w:t>Output 1.3:</w:t>
            </w:r>
            <w:r w:rsidRPr="000737C3">
              <w:rPr>
                <w:rFonts w:ascii="Times New Roman" w:hAnsi="Times New Roman"/>
                <w:bCs/>
              </w:rPr>
              <w:t xml:space="preserve"> Strategies and investment plans related to mini-grid applications and village </w:t>
            </w:r>
            <w:r w:rsidR="00266961" w:rsidRPr="000737C3">
              <w:rPr>
                <w:rFonts w:ascii="Times New Roman" w:hAnsi="Times New Roman"/>
                <w:bCs/>
              </w:rPr>
              <w:t>energization</w:t>
            </w:r>
            <w:r w:rsidRPr="000737C3">
              <w:rPr>
                <w:rFonts w:ascii="Times New Roman" w:hAnsi="Times New Roman"/>
                <w:bCs/>
              </w:rPr>
              <w:t xml:space="preserve"> schemes</w:t>
            </w:r>
          </w:p>
        </w:tc>
      </w:tr>
      <w:tr w:rsidR="00062A8F" w:rsidTr="00EE0947">
        <w:trPr>
          <w:trHeight w:val="575"/>
        </w:trPr>
        <w:tc>
          <w:tcPr>
            <w:tcW w:w="2042" w:type="dxa"/>
            <w:tcBorders>
              <w:top w:val="single" w:sz="4" w:space="0" w:color="auto"/>
              <w:bottom w:val="single" w:sz="4" w:space="0" w:color="auto"/>
            </w:tcBorders>
          </w:tcPr>
          <w:p w:rsidR="00062A8F" w:rsidRPr="00F77CE0" w:rsidRDefault="00897CBB" w:rsidP="00897CBB">
            <w:pPr>
              <w:pStyle w:val="ListParagraph"/>
              <w:spacing w:before="40" w:after="40"/>
              <w:ind w:left="162"/>
              <w:rPr>
                <w:color w:val="000000"/>
              </w:rPr>
            </w:pPr>
            <w:r w:rsidRPr="00F77CE0">
              <w:rPr>
                <w:color w:val="000000"/>
              </w:rPr>
              <w:t xml:space="preserve">Sub-strategies and regulatory framework </w:t>
            </w:r>
            <w:r w:rsidRPr="00F77CE0">
              <w:rPr>
                <w:color w:val="000000"/>
              </w:rPr>
              <w:lastRenderedPageBreak/>
              <w:t>developed and approved</w:t>
            </w:r>
          </w:p>
        </w:tc>
        <w:tc>
          <w:tcPr>
            <w:tcW w:w="1440" w:type="dxa"/>
            <w:tcBorders>
              <w:top w:val="single" w:sz="4" w:space="0" w:color="auto"/>
              <w:bottom w:val="single" w:sz="4" w:space="0" w:color="auto"/>
            </w:tcBorders>
          </w:tcPr>
          <w:p w:rsidR="00062A8F" w:rsidRPr="00F77CE0" w:rsidRDefault="00897CBB" w:rsidP="00062A8F">
            <w:pPr>
              <w:pStyle w:val="ListParagraph"/>
              <w:spacing w:before="40" w:after="40"/>
              <w:ind w:left="162"/>
              <w:rPr>
                <w:color w:val="000000"/>
              </w:rPr>
            </w:pPr>
            <w:r w:rsidRPr="00F77CE0">
              <w:rPr>
                <w:color w:val="000000"/>
              </w:rPr>
              <w:lastRenderedPageBreak/>
              <w:t xml:space="preserve">Existence of sub-strategies </w:t>
            </w:r>
            <w:r w:rsidRPr="00F77CE0">
              <w:rPr>
                <w:color w:val="000000"/>
              </w:rPr>
              <w:lastRenderedPageBreak/>
              <w:t>and regulatory framework</w:t>
            </w:r>
          </w:p>
        </w:tc>
        <w:tc>
          <w:tcPr>
            <w:tcW w:w="1440" w:type="dxa"/>
            <w:tcBorders>
              <w:top w:val="single" w:sz="4" w:space="0" w:color="auto"/>
              <w:bottom w:val="single" w:sz="4" w:space="0" w:color="auto"/>
            </w:tcBorders>
          </w:tcPr>
          <w:p w:rsidR="00062A8F" w:rsidRDefault="00897CBB" w:rsidP="00062A8F">
            <w:r w:rsidRPr="00897CBB">
              <w:lastRenderedPageBreak/>
              <w:t xml:space="preserve">Sub-strategies and </w:t>
            </w:r>
            <w:r w:rsidRPr="00897CBB">
              <w:lastRenderedPageBreak/>
              <w:t>regulatory framework developed within 12 months of project initiation</w:t>
            </w:r>
          </w:p>
        </w:tc>
        <w:tc>
          <w:tcPr>
            <w:tcW w:w="4050" w:type="dxa"/>
            <w:tcBorders>
              <w:top w:val="single" w:sz="4" w:space="0" w:color="auto"/>
              <w:bottom w:val="single" w:sz="4" w:space="0" w:color="auto"/>
            </w:tcBorders>
          </w:tcPr>
          <w:p w:rsidR="00062A8F" w:rsidRPr="001A0B25" w:rsidRDefault="009824FE" w:rsidP="00E54BC4">
            <w:pPr>
              <w:spacing w:before="40" w:after="40"/>
              <w:rPr>
                <w:color w:val="000000"/>
              </w:rPr>
            </w:pPr>
            <w:r>
              <w:rPr>
                <w:color w:val="000000"/>
              </w:rPr>
              <w:lastRenderedPageBreak/>
              <w:t xml:space="preserve">The consultancy on regulatory framework for mini-grids application and village energization, including </w:t>
            </w:r>
            <w:r w:rsidR="00DC3EC7">
              <w:rPr>
                <w:color w:val="000000"/>
              </w:rPr>
              <w:t xml:space="preserve">the financial </w:t>
            </w:r>
            <w:r w:rsidR="00DC3EC7">
              <w:rPr>
                <w:color w:val="000000"/>
              </w:rPr>
              <w:lastRenderedPageBreak/>
              <w:t>support options</w:t>
            </w:r>
            <w:r w:rsidR="00E54BC4">
              <w:rPr>
                <w:color w:val="000000"/>
              </w:rPr>
              <w:t xml:space="preserve"> </w:t>
            </w:r>
            <w:r w:rsidR="00666A39">
              <w:rPr>
                <w:color w:val="000000"/>
              </w:rPr>
              <w:t>is on-going</w:t>
            </w:r>
            <w:r>
              <w:rPr>
                <w:color w:val="000000"/>
              </w:rPr>
              <w:t xml:space="preserve"> and it end</w:t>
            </w:r>
            <w:r w:rsidR="00DC3EC7">
              <w:rPr>
                <w:color w:val="000000"/>
              </w:rPr>
              <w:t>s</w:t>
            </w:r>
            <w:r>
              <w:rPr>
                <w:color w:val="000000"/>
              </w:rPr>
              <w:t xml:space="preserve"> in March 2019.</w:t>
            </w:r>
            <w:r w:rsidR="00E54BC4">
              <w:rPr>
                <w:color w:val="000000"/>
              </w:rPr>
              <w:t xml:space="preserve"> This is the most critical enabling instrument that will facilitate private sector investment in renewable energy mini-grids and energy centres.</w:t>
            </w:r>
          </w:p>
        </w:tc>
        <w:tc>
          <w:tcPr>
            <w:tcW w:w="1620" w:type="dxa"/>
            <w:tcBorders>
              <w:top w:val="single" w:sz="4" w:space="0" w:color="auto"/>
              <w:bottom w:val="single" w:sz="4" w:space="0" w:color="auto"/>
            </w:tcBorders>
          </w:tcPr>
          <w:p w:rsidR="00062A8F" w:rsidRDefault="00062A8F" w:rsidP="00062A8F">
            <w:pPr>
              <w:spacing w:before="40" w:after="40"/>
            </w:pPr>
          </w:p>
        </w:tc>
      </w:tr>
      <w:tr w:rsidR="00062A8F" w:rsidTr="000818C1">
        <w:trPr>
          <w:trHeight w:val="692"/>
        </w:trPr>
        <w:tc>
          <w:tcPr>
            <w:tcW w:w="10592" w:type="dxa"/>
            <w:gridSpan w:val="5"/>
            <w:tcBorders>
              <w:top w:val="single" w:sz="4" w:space="0" w:color="auto"/>
              <w:bottom w:val="single" w:sz="4" w:space="0" w:color="auto"/>
            </w:tcBorders>
          </w:tcPr>
          <w:p w:rsidR="00062A8F" w:rsidRPr="004D04BF" w:rsidRDefault="00062A8F" w:rsidP="00062A8F">
            <w:pPr>
              <w:rPr>
                <w:rFonts w:ascii="Times New Roman" w:hAnsi="Times New Roman"/>
                <w:b/>
                <w:sz w:val="24"/>
              </w:rPr>
            </w:pPr>
            <w:bookmarkStart w:id="2" w:name="_Hlk495399517"/>
            <w:r w:rsidRPr="004D04BF">
              <w:rPr>
                <w:b/>
                <w:sz w:val="24"/>
                <w:szCs w:val="24"/>
              </w:rPr>
              <w:lastRenderedPageBreak/>
              <w:t>Outcome 2:</w:t>
            </w:r>
            <w:r w:rsidRPr="00BA7E12">
              <w:t xml:space="preserve"> </w:t>
            </w:r>
            <w:r w:rsidRPr="004D04BF">
              <w:rPr>
                <w:rFonts w:ascii="Times New Roman" w:hAnsi="Times New Roman"/>
                <w:sz w:val="24"/>
              </w:rPr>
              <w:t>Improved capacity of energy stakeholders and government officials for decentralized clean energy planning and decision- making on the basis of quality energy data.</w:t>
            </w:r>
            <w:bookmarkEnd w:id="2"/>
          </w:p>
        </w:tc>
      </w:tr>
      <w:tr w:rsidR="00062A8F" w:rsidTr="000818C1">
        <w:trPr>
          <w:trHeight w:val="575"/>
        </w:trPr>
        <w:tc>
          <w:tcPr>
            <w:tcW w:w="10592" w:type="dxa"/>
            <w:gridSpan w:val="5"/>
            <w:tcBorders>
              <w:top w:val="single" w:sz="4" w:space="0" w:color="auto"/>
              <w:bottom w:val="single" w:sz="4" w:space="0" w:color="auto"/>
            </w:tcBorders>
          </w:tcPr>
          <w:p w:rsidR="00062A8F" w:rsidRDefault="00062A8F" w:rsidP="00062A8F">
            <w:pPr>
              <w:spacing w:before="40" w:after="40"/>
            </w:pPr>
            <w:r w:rsidRPr="007849DE">
              <w:rPr>
                <w:rFonts w:ascii="Times New Roman" w:hAnsi="Times New Roman"/>
                <w:b/>
                <w:bCs/>
              </w:rPr>
              <w:t>Output 2.1:</w:t>
            </w:r>
            <w:r w:rsidRPr="000737C3">
              <w:rPr>
                <w:rFonts w:ascii="Times New Roman" w:hAnsi="Times New Roman"/>
                <w:bCs/>
              </w:rPr>
              <w:t xml:space="preserve"> National survey conducted on energy supply, consumption and demand, disaggregated by sector, district and application.</w:t>
            </w:r>
          </w:p>
        </w:tc>
      </w:tr>
      <w:tr w:rsidR="00062A8F" w:rsidTr="00EE0947">
        <w:trPr>
          <w:trHeight w:val="881"/>
        </w:trPr>
        <w:tc>
          <w:tcPr>
            <w:tcW w:w="2042" w:type="dxa"/>
            <w:tcBorders>
              <w:top w:val="single" w:sz="4" w:space="0" w:color="auto"/>
              <w:bottom w:val="single" w:sz="4" w:space="0" w:color="auto"/>
            </w:tcBorders>
          </w:tcPr>
          <w:p w:rsidR="00062A8F" w:rsidRPr="00335F3E" w:rsidRDefault="00031693" w:rsidP="00062A8F">
            <w:pPr>
              <w:pStyle w:val="ListParagraph"/>
              <w:spacing w:before="40" w:after="40"/>
              <w:ind w:left="162"/>
              <w:rPr>
                <w:color w:val="000000"/>
              </w:rPr>
            </w:pPr>
            <w:r w:rsidRPr="00335F3E">
              <w:rPr>
                <w:color w:val="000000"/>
              </w:rPr>
              <w:t>Energy data on households and sectors available</w:t>
            </w:r>
          </w:p>
        </w:tc>
        <w:tc>
          <w:tcPr>
            <w:tcW w:w="1440" w:type="dxa"/>
            <w:tcBorders>
              <w:top w:val="single" w:sz="4" w:space="0" w:color="auto"/>
              <w:bottom w:val="single" w:sz="4" w:space="0" w:color="auto"/>
            </w:tcBorders>
          </w:tcPr>
          <w:p w:rsidR="00062A8F" w:rsidRPr="00E7390E" w:rsidRDefault="00031693" w:rsidP="00E7390E">
            <w:pPr>
              <w:spacing w:before="40" w:after="40"/>
              <w:rPr>
                <w:color w:val="000000"/>
              </w:rPr>
            </w:pPr>
            <w:r w:rsidRPr="000737C3">
              <w:rPr>
                <w:rFonts w:ascii="Times New Roman" w:hAnsi="Times New Roman"/>
              </w:rPr>
              <w:t>Completion of national energy survey.</w:t>
            </w:r>
          </w:p>
        </w:tc>
        <w:tc>
          <w:tcPr>
            <w:tcW w:w="1440" w:type="dxa"/>
            <w:tcBorders>
              <w:top w:val="single" w:sz="4" w:space="0" w:color="auto"/>
              <w:bottom w:val="single" w:sz="4" w:space="0" w:color="auto"/>
            </w:tcBorders>
          </w:tcPr>
          <w:p w:rsidR="00062A8F" w:rsidRDefault="00031693" w:rsidP="00062A8F">
            <w:r>
              <w:rPr>
                <w:rFonts w:ascii="Times New Roman" w:hAnsi="Times New Roman"/>
              </w:rPr>
              <w:t xml:space="preserve">To be </w:t>
            </w:r>
            <w:r w:rsidRPr="000737C3">
              <w:rPr>
                <w:rFonts w:ascii="Times New Roman" w:hAnsi="Times New Roman"/>
              </w:rPr>
              <w:t>completed within 9 months of project initiation and results validated by stakeholders by the end of Year 1.</w:t>
            </w:r>
          </w:p>
        </w:tc>
        <w:tc>
          <w:tcPr>
            <w:tcW w:w="4050" w:type="dxa"/>
            <w:tcBorders>
              <w:top w:val="single" w:sz="4" w:space="0" w:color="auto"/>
              <w:bottom w:val="single" w:sz="4" w:space="0" w:color="auto"/>
            </w:tcBorders>
          </w:tcPr>
          <w:p w:rsidR="00244308" w:rsidRPr="00666A39" w:rsidRDefault="00666A39" w:rsidP="00666A39">
            <w:pPr>
              <w:spacing w:before="40" w:after="40"/>
              <w:jc w:val="both"/>
              <w:rPr>
                <w:color w:val="000000"/>
              </w:rPr>
            </w:pPr>
            <w:r w:rsidRPr="00666A39">
              <w:rPr>
                <w:color w:val="000000"/>
              </w:rPr>
              <w:t>Households Energy Consumption Survey (HECS)</w:t>
            </w:r>
            <w:r w:rsidR="00244308" w:rsidRPr="00666A39">
              <w:rPr>
                <w:color w:val="000000"/>
              </w:rPr>
              <w:t xml:space="preserve"> was completed in November 2017. </w:t>
            </w:r>
            <w:r w:rsidRPr="00666A39">
              <w:rPr>
                <w:color w:val="000000"/>
              </w:rPr>
              <w:t xml:space="preserve">The technical report was developed and validated by stakeholders. Draft Analytical Report was produced and remains to be validated by energy stakeholders. </w:t>
            </w:r>
            <w:r w:rsidR="00244308" w:rsidRPr="00666A39">
              <w:rPr>
                <w:color w:val="000000"/>
              </w:rPr>
              <w:t>The survey provides baseline information for the project and will assist in planning, tracking of progress towards SDG 7 and SE4All objectives.</w:t>
            </w:r>
          </w:p>
          <w:p w:rsidR="001F0815" w:rsidRPr="00666A39" w:rsidRDefault="00EC4A0F" w:rsidP="00666A39">
            <w:pPr>
              <w:spacing w:before="40" w:after="40"/>
              <w:jc w:val="both"/>
              <w:rPr>
                <w:rFonts w:cs="Times New Roman"/>
                <w:color w:val="000000"/>
              </w:rPr>
            </w:pPr>
            <w:r w:rsidRPr="00666A39">
              <w:rPr>
                <w:rFonts w:cs="Times New Roman"/>
                <w:color w:val="000000"/>
              </w:rPr>
              <w:t xml:space="preserve"> </w:t>
            </w:r>
          </w:p>
          <w:p w:rsidR="00014824" w:rsidRPr="001A0B25" w:rsidRDefault="00EC4A0F" w:rsidP="00666A39">
            <w:pPr>
              <w:spacing w:before="40" w:after="40"/>
              <w:jc w:val="both"/>
              <w:rPr>
                <w:color w:val="000000"/>
              </w:rPr>
            </w:pPr>
            <w:r w:rsidRPr="00666A39">
              <w:rPr>
                <w:rFonts w:cs="Times New Roman"/>
                <w:color w:val="000000"/>
              </w:rPr>
              <w:t>Sector Energy Consumption Survey</w:t>
            </w:r>
            <w:r w:rsidR="00666A39" w:rsidRPr="00666A39">
              <w:rPr>
                <w:rFonts w:cs="Times New Roman"/>
                <w:color w:val="000000"/>
              </w:rPr>
              <w:t xml:space="preserve"> (SECS)</w:t>
            </w:r>
            <w:r w:rsidR="00192223" w:rsidRPr="00666A39">
              <w:rPr>
                <w:rFonts w:cs="Times New Roman"/>
                <w:color w:val="000000"/>
              </w:rPr>
              <w:t xml:space="preserve"> </w:t>
            </w:r>
            <w:r w:rsidR="00244308" w:rsidRPr="00666A39">
              <w:rPr>
                <w:rFonts w:cs="Times New Roman"/>
                <w:color w:val="000000"/>
              </w:rPr>
              <w:t>took place</w:t>
            </w:r>
            <w:r w:rsidR="00192223" w:rsidRPr="00666A39">
              <w:rPr>
                <w:rFonts w:cs="Times New Roman"/>
                <w:color w:val="000000"/>
              </w:rPr>
              <w:t xml:space="preserve"> </w:t>
            </w:r>
            <w:r w:rsidR="00244308" w:rsidRPr="00666A39">
              <w:rPr>
                <w:rFonts w:cs="Times New Roman"/>
                <w:color w:val="000000"/>
              </w:rPr>
              <w:t xml:space="preserve">in </w:t>
            </w:r>
            <w:r w:rsidRPr="00666A39">
              <w:rPr>
                <w:rFonts w:cs="Times New Roman"/>
                <w:color w:val="000000"/>
              </w:rPr>
              <w:t xml:space="preserve">November </w:t>
            </w:r>
            <w:r w:rsidR="00192223" w:rsidRPr="00666A39">
              <w:rPr>
                <w:rFonts w:cs="Times New Roman"/>
                <w:color w:val="000000"/>
              </w:rPr>
              <w:t xml:space="preserve">2018. </w:t>
            </w:r>
            <w:r w:rsidR="00244308" w:rsidRPr="00666A39">
              <w:rPr>
                <w:rFonts w:cs="Times New Roman"/>
                <w:color w:val="000000"/>
              </w:rPr>
              <w:t>D</w:t>
            </w:r>
            <w:r w:rsidR="00192223" w:rsidRPr="00666A39">
              <w:rPr>
                <w:rFonts w:cs="Times New Roman"/>
              </w:rPr>
              <w:t>ata processing and report writing i</w:t>
            </w:r>
            <w:r w:rsidR="00666A39" w:rsidRPr="00666A39">
              <w:rPr>
                <w:rFonts w:cs="Times New Roman"/>
              </w:rPr>
              <w:t>s</w:t>
            </w:r>
            <w:r w:rsidR="00192223" w:rsidRPr="00666A39">
              <w:rPr>
                <w:rFonts w:cs="Times New Roman"/>
              </w:rPr>
              <w:t xml:space="preserve"> </w:t>
            </w:r>
            <w:r w:rsidR="00666A39" w:rsidRPr="00666A39">
              <w:rPr>
                <w:rFonts w:cs="Times New Roman"/>
              </w:rPr>
              <w:t xml:space="preserve">scheduled for </w:t>
            </w:r>
            <w:r w:rsidR="00192223" w:rsidRPr="00666A39">
              <w:rPr>
                <w:rFonts w:cs="Times New Roman"/>
              </w:rPr>
              <w:t>January to March 2019</w:t>
            </w:r>
            <w:r w:rsidR="00D55B2B" w:rsidRPr="00666A39">
              <w:rPr>
                <w:rFonts w:cs="Times New Roman"/>
              </w:rPr>
              <w:t>.</w:t>
            </w:r>
          </w:p>
        </w:tc>
        <w:tc>
          <w:tcPr>
            <w:tcW w:w="1620" w:type="dxa"/>
            <w:tcBorders>
              <w:top w:val="single" w:sz="4" w:space="0" w:color="auto"/>
              <w:bottom w:val="single" w:sz="4" w:space="0" w:color="auto"/>
            </w:tcBorders>
          </w:tcPr>
          <w:p w:rsidR="00062A8F" w:rsidRDefault="00062A8F" w:rsidP="00EC5A75"/>
        </w:tc>
      </w:tr>
      <w:tr w:rsidR="00244308" w:rsidTr="00812444">
        <w:trPr>
          <w:trHeight w:val="881"/>
        </w:trPr>
        <w:tc>
          <w:tcPr>
            <w:tcW w:w="10592" w:type="dxa"/>
            <w:gridSpan w:val="5"/>
            <w:tcBorders>
              <w:top w:val="single" w:sz="4" w:space="0" w:color="auto"/>
              <w:bottom w:val="single" w:sz="4" w:space="0" w:color="auto"/>
            </w:tcBorders>
          </w:tcPr>
          <w:p w:rsidR="00244308" w:rsidRDefault="00244308" w:rsidP="00EC5A75">
            <w:r w:rsidRPr="007849DE">
              <w:rPr>
                <w:rFonts w:ascii="Times New Roman" w:hAnsi="Times New Roman"/>
                <w:b/>
                <w:bCs/>
              </w:rPr>
              <w:t>Output 2.2:</w:t>
            </w:r>
            <w:r w:rsidRPr="000737C3">
              <w:rPr>
                <w:rFonts w:ascii="Times New Roman" w:hAnsi="Times New Roman"/>
                <w:bCs/>
              </w:rPr>
              <w:t xml:space="preserve"> Energy database and information system established for data collected under Output 2.1 above, with clear responsibilities agreed to as regards regular monitoring and annual publication of indicators (between DoE and BoS).</w:t>
            </w:r>
          </w:p>
        </w:tc>
      </w:tr>
      <w:tr w:rsidR="00244308" w:rsidTr="00EE0947">
        <w:trPr>
          <w:trHeight w:val="881"/>
        </w:trPr>
        <w:tc>
          <w:tcPr>
            <w:tcW w:w="2042" w:type="dxa"/>
            <w:tcBorders>
              <w:top w:val="single" w:sz="4" w:space="0" w:color="auto"/>
              <w:bottom w:val="single" w:sz="4" w:space="0" w:color="auto"/>
            </w:tcBorders>
          </w:tcPr>
          <w:p w:rsidR="00244308" w:rsidRPr="00335F3E" w:rsidRDefault="00244308" w:rsidP="00062A8F">
            <w:pPr>
              <w:pStyle w:val="ListParagraph"/>
              <w:spacing w:before="40" w:after="40"/>
              <w:ind w:left="162"/>
              <w:rPr>
                <w:color w:val="000000"/>
              </w:rPr>
            </w:pPr>
            <w:r w:rsidRPr="005F1E7A">
              <w:rPr>
                <w:color w:val="000000"/>
              </w:rPr>
              <w:t>Energy database and information system developed and approved</w:t>
            </w:r>
          </w:p>
        </w:tc>
        <w:tc>
          <w:tcPr>
            <w:tcW w:w="1440" w:type="dxa"/>
            <w:tcBorders>
              <w:top w:val="single" w:sz="4" w:space="0" w:color="auto"/>
              <w:bottom w:val="single" w:sz="4" w:space="0" w:color="auto"/>
            </w:tcBorders>
          </w:tcPr>
          <w:p w:rsidR="00244308" w:rsidRPr="000737C3" w:rsidRDefault="00244308" w:rsidP="00E7390E">
            <w:pPr>
              <w:spacing w:before="40" w:after="40"/>
              <w:rPr>
                <w:rFonts w:ascii="Times New Roman" w:hAnsi="Times New Roman"/>
              </w:rPr>
            </w:pPr>
            <w:r w:rsidRPr="005F1E7A">
              <w:rPr>
                <w:color w:val="000000"/>
              </w:rPr>
              <w:t>Existence of energy database and information system</w:t>
            </w:r>
          </w:p>
        </w:tc>
        <w:tc>
          <w:tcPr>
            <w:tcW w:w="1440" w:type="dxa"/>
            <w:tcBorders>
              <w:top w:val="single" w:sz="4" w:space="0" w:color="auto"/>
              <w:bottom w:val="single" w:sz="4" w:space="0" w:color="auto"/>
            </w:tcBorders>
          </w:tcPr>
          <w:p w:rsidR="00244308" w:rsidRDefault="00244308" w:rsidP="00062A8F">
            <w:pPr>
              <w:rPr>
                <w:rFonts w:ascii="Times New Roman" w:hAnsi="Times New Roman"/>
              </w:rPr>
            </w:pPr>
            <w:r w:rsidRPr="00E7390E">
              <w:t>Energy database and information system available within 12 months of project initiation</w:t>
            </w:r>
          </w:p>
        </w:tc>
        <w:tc>
          <w:tcPr>
            <w:tcW w:w="4050" w:type="dxa"/>
            <w:tcBorders>
              <w:top w:val="single" w:sz="4" w:space="0" w:color="auto"/>
              <w:bottom w:val="single" w:sz="4" w:space="0" w:color="auto"/>
            </w:tcBorders>
          </w:tcPr>
          <w:p w:rsidR="00244308" w:rsidRPr="00E77CE3" w:rsidRDefault="00293154" w:rsidP="00666A39">
            <w:pPr>
              <w:spacing w:before="40" w:after="40"/>
              <w:jc w:val="both"/>
              <w:rPr>
                <w:color w:val="000000"/>
              </w:rPr>
            </w:pPr>
            <w:r w:rsidRPr="00E77CE3">
              <w:rPr>
                <w:color w:val="000000"/>
              </w:rPr>
              <w:t xml:space="preserve">The households’ energy database and information system </w:t>
            </w:r>
            <w:r>
              <w:rPr>
                <w:color w:val="000000"/>
              </w:rPr>
              <w:t xml:space="preserve">was </w:t>
            </w:r>
            <w:r w:rsidRPr="00E77CE3">
              <w:rPr>
                <w:color w:val="000000"/>
              </w:rPr>
              <w:t>established</w:t>
            </w:r>
            <w:r>
              <w:rPr>
                <w:color w:val="000000"/>
              </w:rPr>
              <w:t xml:space="preserve"> and approved in early 2018. </w:t>
            </w:r>
            <w:r w:rsidRPr="00E77CE3">
              <w:rPr>
                <w:color w:val="000000"/>
              </w:rPr>
              <w:t xml:space="preserve"> </w:t>
            </w:r>
            <w:r>
              <w:rPr>
                <w:color w:val="000000"/>
              </w:rPr>
              <w:t>The database will be utilized both for planning purposes as well as for tracking progress against national and SE4All targets.</w:t>
            </w:r>
          </w:p>
        </w:tc>
        <w:tc>
          <w:tcPr>
            <w:tcW w:w="1620" w:type="dxa"/>
            <w:tcBorders>
              <w:top w:val="single" w:sz="4" w:space="0" w:color="auto"/>
              <w:bottom w:val="single" w:sz="4" w:space="0" w:color="auto"/>
            </w:tcBorders>
          </w:tcPr>
          <w:p w:rsidR="00244308" w:rsidRDefault="00244308" w:rsidP="00EC5A75"/>
        </w:tc>
      </w:tr>
      <w:tr w:rsidR="00244308" w:rsidTr="00244308">
        <w:trPr>
          <w:trHeight w:val="485"/>
        </w:trPr>
        <w:tc>
          <w:tcPr>
            <w:tcW w:w="10592" w:type="dxa"/>
            <w:gridSpan w:val="5"/>
            <w:tcBorders>
              <w:top w:val="single" w:sz="4" w:space="0" w:color="auto"/>
              <w:bottom w:val="single" w:sz="4" w:space="0" w:color="auto"/>
            </w:tcBorders>
          </w:tcPr>
          <w:p w:rsidR="00244308" w:rsidRDefault="00244308" w:rsidP="00EC5A75">
            <w:r w:rsidRPr="007849DE">
              <w:rPr>
                <w:rFonts w:ascii="Times New Roman" w:hAnsi="Times New Roman"/>
                <w:b/>
                <w:bCs/>
              </w:rPr>
              <w:t>Output 2.3:</w:t>
            </w:r>
            <w:r w:rsidRPr="000737C3">
              <w:rPr>
                <w:rFonts w:ascii="Times New Roman" w:hAnsi="Times New Roman"/>
                <w:bCs/>
              </w:rPr>
              <w:t xml:space="preserve"> Energy modelling software in place to analyse the data, model scenarios and produce information that will promote RE policies.</w:t>
            </w:r>
          </w:p>
        </w:tc>
      </w:tr>
      <w:tr w:rsidR="00244308" w:rsidTr="00EE0947">
        <w:trPr>
          <w:trHeight w:val="881"/>
        </w:trPr>
        <w:tc>
          <w:tcPr>
            <w:tcW w:w="2042" w:type="dxa"/>
            <w:tcBorders>
              <w:top w:val="single" w:sz="4" w:space="0" w:color="auto"/>
              <w:bottom w:val="single" w:sz="4" w:space="0" w:color="auto"/>
            </w:tcBorders>
          </w:tcPr>
          <w:p w:rsidR="00244308" w:rsidRPr="005F1E7A" w:rsidRDefault="00244308" w:rsidP="00062A8F">
            <w:pPr>
              <w:pStyle w:val="ListParagraph"/>
              <w:spacing w:before="40" w:after="40"/>
              <w:ind w:left="162"/>
              <w:rPr>
                <w:color w:val="000000"/>
              </w:rPr>
            </w:pPr>
            <w:r w:rsidRPr="005F1E7A">
              <w:rPr>
                <w:rFonts w:ascii="Times New Roman" w:hAnsi="Times New Roman"/>
                <w:bCs/>
              </w:rPr>
              <w:t>Energy modelling software</w:t>
            </w:r>
            <w:r>
              <w:rPr>
                <w:rFonts w:ascii="Times New Roman" w:hAnsi="Times New Roman"/>
                <w:bCs/>
              </w:rPr>
              <w:t xml:space="preserve"> utilized </w:t>
            </w:r>
            <w:r w:rsidRPr="005F1E7A">
              <w:rPr>
                <w:rFonts w:ascii="Times New Roman" w:hAnsi="Times New Roman"/>
                <w:bCs/>
              </w:rPr>
              <w:t>to analyze data, model scenarios</w:t>
            </w:r>
          </w:p>
        </w:tc>
        <w:tc>
          <w:tcPr>
            <w:tcW w:w="1440" w:type="dxa"/>
            <w:tcBorders>
              <w:top w:val="single" w:sz="4" w:space="0" w:color="auto"/>
              <w:bottom w:val="single" w:sz="4" w:space="0" w:color="auto"/>
            </w:tcBorders>
          </w:tcPr>
          <w:p w:rsidR="00244308" w:rsidRPr="005F1E7A" w:rsidRDefault="00244308" w:rsidP="00E7390E">
            <w:pPr>
              <w:spacing w:before="40" w:after="40"/>
              <w:rPr>
                <w:color w:val="000000"/>
              </w:rPr>
            </w:pPr>
            <w:r w:rsidRPr="000737C3">
              <w:rPr>
                <w:rFonts w:ascii="Times New Roman" w:hAnsi="Times New Roman"/>
              </w:rPr>
              <w:t>Energy modelling software being utilized.</w:t>
            </w:r>
          </w:p>
        </w:tc>
        <w:tc>
          <w:tcPr>
            <w:tcW w:w="1440" w:type="dxa"/>
            <w:tcBorders>
              <w:top w:val="single" w:sz="4" w:space="0" w:color="auto"/>
              <w:bottom w:val="single" w:sz="4" w:space="0" w:color="auto"/>
            </w:tcBorders>
          </w:tcPr>
          <w:p w:rsidR="00244308" w:rsidRPr="00E7390E" w:rsidRDefault="00244308" w:rsidP="00062A8F">
            <w:r>
              <w:rPr>
                <w:rFonts w:ascii="Times New Roman" w:hAnsi="Times New Roman"/>
              </w:rPr>
              <w:t xml:space="preserve">Energy modelling software in place and approved </w:t>
            </w:r>
            <w:r w:rsidRPr="000737C3">
              <w:rPr>
                <w:rFonts w:ascii="Times New Roman" w:hAnsi="Times New Roman"/>
              </w:rPr>
              <w:t xml:space="preserve">within 12 months of </w:t>
            </w:r>
            <w:r w:rsidRPr="000737C3">
              <w:rPr>
                <w:rFonts w:ascii="Times New Roman" w:hAnsi="Times New Roman"/>
              </w:rPr>
              <w:lastRenderedPageBreak/>
              <w:t>project initiation</w:t>
            </w:r>
          </w:p>
        </w:tc>
        <w:tc>
          <w:tcPr>
            <w:tcW w:w="4050" w:type="dxa"/>
            <w:tcBorders>
              <w:top w:val="single" w:sz="4" w:space="0" w:color="auto"/>
              <w:bottom w:val="single" w:sz="4" w:space="0" w:color="auto"/>
            </w:tcBorders>
          </w:tcPr>
          <w:p w:rsidR="00244308" w:rsidRPr="00E77CE3" w:rsidRDefault="00293154" w:rsidP="00666A39">
            <w:pPr>
              <w:spacing w:before="40" w:after="40"/>
              <w:jc w:val="both"/>
              <w:rPr>
                <w:color w:val="000000"/>
              </w:rPr>
            </w:pPr>
            <w:r>
              <w:rPr>
                <w:color w:val="000000"/>
              </w:rPr>
              <w:lastRenderedPageBreak/>
              <w:t xml:space="preserve">LEAP software was identified as the most suitable for Lesotho. </w:t>
            </w:r>
            <w:r w:rsidR="007D3673">
              <w:rPr>
                <w:color w:val="000000"/>
              </w:rPr>
              <w:t>O</w:t>
            </w:r>
            <w:r>
              <w:rPr>
                <w:color w:val="000000"/>
              </w:rPr>
              <w:t xml:space="preserve">ther </w:t>
            </w:r>
            <w:r w:rsidR="00666A39">
              <w:rPr>
                <w:color w:val="000000"/>
              </w:rPr>
              <w:t xml:space="preserve">modelling </w:t>
            </w:r>
            <w:r>
              <w:rPr>
                <w:color w:val="000000"/>
              </w:rPr>
              <w:t xml:space="preserve">softwares are </w:t>
            </w:r>
            <w:r w:rsidR="00666A39">
              <w:rPr>
                <w:color w:val="000000"/>
              </w:rPr>
              <w:t xml:space="preserve">being </w:t>
            </w:r>
            <w:r w:rsidR="007D3673">
              <w:rPr>
                <w:color w:val="000000"/>
              </w:rPr>
              <w:t>utilized</w:t>
            </w:r>
            <w:r>
              <w:rPr>
                <w:color w:val="000000"/>
              </w:rPr>
              <w:t xml:space="preserve"> by the DOE and BOS staff</w:t>
            </w:r>
            <w:r w:rsidR="00C7466D">
              <w:rPr>
                <w:color w:val="000000"/>
              </w:rPr>
              <w:t xml:space="preserve">, </w:t>
            </w:r>
            <w:r>
              <w:rPr>
                <w:color w:val="000000"/>
              </w:rPr>
              <w:t>including Mead, Message, Simplex and Simplan</w:t>
            </w:r>
            <w:r w:rsidR="007D3673">
              <w:rPr>
                <w:color w:val="000000"/>
              </w:rPr>
              <w:t>, under the guidance of the IAEA</w:t>
            </w:r>
            <w:r>
              <w:rPr>
                <w:color w:val="000000"/>
              </w:rPr>
              <w:t>.</w:t>
            </w:r>
            <w:r w:rsidR="007D3673">
              <w:rPr>
                <w:color w:val="000000"/>
              </w:rPr>
              <w:t xml:space="preserve"> The softwares are instrumental for data processing and to produce </w:t>
            </w:r>
            <w:r w:rsidR="007D3673">
              <w:rPr>
                <w:color w:val="000000"/>
              </w:rPr>
              <w:lastRenderedPageBreak/>
              <w:t xml:space="preserve">information that will promote </w:t>
            </w:r>
            <w:r w:rsidR="00666A39">
              <w:rPr>
                <w:color w:val="000000"/>
              </w:rPr>
              <w:t>Lesotho Energy P</w:t>
            </w:r>
            <w:r w:rsidR="007D3673">
              <w:rPr>
                <w:color w:val="000000"/>
              </w:rPr>
              <w:t>olicies.</w:t>
            </w:r>
          </w:p>
        </w:tc>
        <w:tc>
          <w:tcPr>
            <w:tcW w:w="1620" w:type="dxa"/>
            <w:tcBorders>
              <w:top w:val="single" w:sz="4" w:space="0" w:color="auto"/>
              <w:bottom w:val="single" w:sz="4" w:space="0" w:color="auto"/>
            </w:tcBorders>
          </w:tcPr>
          <w:p w:rsidR="00244308" w:rsidRDefault="00244308" w:rsidP="00EC5A75"/>
        </w:tc>
      </w:tr>
      <w:tr w:rsidR="00062A8F" w:rsidTr="000818C1">
        <w:trPr>
          <w:trHeight w:val="674"/>
        </w:trPr>
        <w:tc>
          <w:tcPr>
            <w:tcW w:w="10592" w:type="dxa"/>
            <w:gridSpan w:val="5"/>
            <w:tcBorders>
              <w:top w:val="single" w:sz="4" w:space="0" w:color="auto"/>
              <w:bottom w:val="single" w:sz="4" w:space="0" w:color="auto"/>
            </w:tcBorders>
          </w:tcPr>
          <w:p w:rsidR="00062A8F" w:rsidRPr="004D04BF" w:rsidRDefault="00062A8F" w:rsidP="00062A8F">
            <w:pPr>
              <w:rPr>
                <w:rFonts w:ascii="Times New Roman" w:hAnsi="Times New Roman"/>
                <w:color w:val="000000"/>
                <w:sz w:val="24"/>
              </w:rPr>
            </w:pPr>
            <w:bookmarkStart w:id="3" w:name="_Hlk495399756"/>
            <w:r w:rsidRPr="008027DC">
              <w:rPr>
                <w:rFonts w:ascii="Times New Roman" w:hAnsi="Times New Roman"/>
                <w:b/>
                <w:color w:val="000000"/>
                <w:sz w:val="24"/>
              </w:rPr>
              <w:lastRenderedPageBreak/>
              <w:t>Outcome 3:</w:t>
            </w:r>
            <w:r w:rsidRPr="008027DC">
              <w:rPr>
                <w:rFonts w:ascii="Times New Roman" w:hAnsi="Times New Roman"/>
                <w:color w:val="000000"/>
                <w:sz w:val="24"/>
              </w:rPr>
              <w:t xml:space="preserve"> Successful establishment of a village-based energy service delivery model for replication nationally.</w:t>
            </w:r>
            <w:bookmarkEnd w:id="3"/>
          </w:p>
        </w:tc>
      </w:tr>
      <w:tr w:rsidR="0072370E" w:rsidTr="000818C1">
        <w:trPr>
          <w:trHeight w:val="620"/>
        </w:trPr>
        <w:tc>
          <w:tcPr>
            <w:tcW w:w="10592" w:type="dxa"/>
            <w:gridSpan w:val="5"/>
            <w:tcBorders>
              <w:top w:val="single" w:sz="4" w:space="0" w:color="auto"/>
              <w:bottom w:val="single" w:sz="4" w:space="0" w:color="auto"/>
            </w:tcBorders>
          </w:tcPr>
          <w:p w:rsidR="0072370E" w:rsidRDefault="0072370E" w:rsidP="00062A8F">
            <w:pPr>
              <w:spacing w:before="40" w:after="40"/>
            </w:pPr>
            <w:r w:rsidRPr="0072370E">
              <w:rPr>
                <w:rFonts w:ascii="Times New Roman" w:hAnsi="Times New Roman"/>
                <w:b/>
                <w:bCs/>
              </w:rPr>
              <w:t>Output 3.1:</w:t>
            </w:r>
            <w:r w:rsidRPr="000737C3">
              <w:rPr>
                <w:rFonts w:ascii="Times New Roman" w:hAnsi="Times New Roman"/>
                <w:bCs/>
              </w:rPr>
              <w:t xml:space="preserve"> Completed pre-feasibility studies for mini-grids in 20 village communities (see Table 3 below) spanning 5 of Lesotho’s 10 districts.</w:t>
            </w:r>
          </w:p>
        </w:tc>
      </w:tr>
      <w:tr w:rsidR="00062A8F" w:rsidTr="00EE0947">
        <w:trPr>
          <w:trHeight w:val="1055"/>
        </w:trPr>
        <w:tc>
          <w:tcPr>
            <w:tcW w:w="2042" w:type="dxa"/>
            <w:tcBorders>
              <w:top w:val="single" w:sz="4" w:space="0" w:color="auto"/>
              <w:bottom w:val="single" w:sz="4" w:space="0" w:color="auto"/>
            </w:tcBorders>
          </w:tcPr>
          <w:p w:rsidR="00062A8F" w:rsidRPr="009759BB" w:rsidRDefault="008A683B" w:rsidP="00062A8F">
            <w:pPr>
              <w:pStyle w:val="ListParagraph"/>
              <w:spacing w:before="40" w:after="40"/>
              <w:ind w:left="162"/>
              <w:rPr>
                <w:b/>
                <w:color w:val="000000"/>
              </w:rPr>
            </w:pPr>
            <w:r>
              <w:rPr>
                <w:rFonts w:ascii="Times New Roman" w:hAnsi="Times New Roman"/>
                <w:bCs/>
              </w:rPr>
              <w:t>P</w:t>
            </w:r>
            <w:r w:rsidRPr="000737C3">
              <w:rPr>
                <w:rFonts w:ascii="Times New Roman" w:hAnsi="Times New Roman"/>
                <w:bCs/>
              </w:rPr>
              <w:t>reliminary assessment in 20 village communities</w:t>
            </w:r>
          </w:p>
        </w:tc>
        <w:tc>
          <w:tcPr>
            <w:tcW w:w="1440" w:type="dxa"/>
            <w:tcBorders>
              <w:top w:val="single" w:sz="4" w:space="0" w:color="auto"/>
              <w:bottom w:val="single" w:sz="4" w:space="0" w:color="auto"/>
            </w:tcBorders>
          </w:tcPr>
          <w:p w:rsidR="00062A8F" w:rsidRPr="001E2C65" w:rsidRDefault="008A683B" w:rsidP="00062A8F">
            <w:pPr>
              <w:pStyle w:val="ListParagraph"/>
              <w:spacing w:before="40" w:after="40"/>
              <w:ind w:left="162"/>
              <w:rPr>
                <w:color w:val="000000"/>
              </w:rPr>
            </w:pPr>
            <w:r w:rsidRPr="000737C3">
              <w:rPr>
                <w:rFonts w:ascii="Times New Roman" w:hAnsi="Times New Roman"/>
              </w:rPr>
              <w:t>Pre-feasibility studies completed.</w:t>
            </w:r>
          </w:p>
        </w:tc>
        <w:tc>
          <w:tcPr>
            <w:tcW w:w="1440" w:type="dxa"/>
            <w:tcBorders>
              <w:top w:val="single" w:sz="4" w:space="0" w:color="auto"/>
              <w:bottom w:val="single" w:sz="4" w:space="0" w:color="auto"/>
            </w:tcBorders>
          </w:tcPr>
          <w:p w:rsidR="00062A8F" w:rsidRPr="00F905BA" w:rsidRDefault="008A683B" w:rsidP="00062A8F">
            <w:pPr>
              <w:rPr>
                <w:rFonts w:ascii="Times New Roman" w:hAnsi="Times New Roman" w:cs="Times New Roman"/>
              </w:rPr>
            </w:pPr>
            <w:r w:rsidRPr="00F905BA">
              <w:rPr>
                <w:rFonts w:ascii="Times New Roman" w:hAnsi="Times New Roman" w:cs="Times New Roman"/>
                <w:color w:val="000000"/>
              </w:rPr>
              <w:t>Completed within 12 months of project start.</w:t>
            </w:r>
          </w:p>
        </w:tc>
        <w:tc>
          <w:tcPr>
            <w:tcW w:w="4050" w:type="dxa"/>
            <w:tcBorders>
              <w:top w:val="single" w:sz="4" w:space="0" w:color="auto"/>
              <w:bottom w:val="single" w:sz="4" w:space="0" w:color="auto"/>
            </w:tcBorders>
          </w:tcPr>
          <w:p w:rsidR="00062A8F" w:rsidRPr="00F905BA" w:rsidRDefault="00AD03A9" w:rsidP="00AD03A9">
            <w:pPr>
              <w:spacing w:before="40" w:after="40"/>
              <w:jc w:val="both"/>
              <w:rPr>
                <w:rFonts w:ascii="Times New Roman" w:hAnsi="Times New Roman" w:cs="Times New Roman"/>
                <w:color w:val="000000"/>
              </w:rPr>
            </w:pPr>
            <w:r>
              <w:rPr>
                <w:rFonts w:ascii="Times New Roman" w:hAnsi="Times New Roman" w:cs="Times New Roman"/>
                <w:color w:val="000000"/>
              </w:rPr>
              <w:t xml:space="preserve">Preliminary assessment of the 20 sites earmarked for mini-grids and energy centres was undertaken during quarter 4 of 2018 and the reports were validated by the stakeholders. </w:t>
            </w:r>
            <w:r w:rsidR="00E521A3">
              <w:rPr>
                <w:rFonts w:ascii="Times New Roman" w:hAnsi="Times New Roman" w:cs="Times New Roman"/>
                <w:color w:val="000000"/>
              </w:rPr>
              <w:t xml:space="preserve">The studies provide information on the renewable energy technologies potential, infrastructure, socio-economic factors including households’ willingness and ability to pay for energy services. </w:t>
            </w:r>
            <w:r w:rsidR="00F32021">
              <w:rPr>
                <w:rFonts w:ascii="Times New Roman" w:hAnsi="Times New Roman" w:cs="Times New Roman"/>
                <w:color w:val="000000"/>
              </w:rPr>
              <w:t>The results</w:t>
            </w:r>
            <w:r w:rsidR="00192223">
              <w:rPr>
                <w:rFonts w:ascii="Times New Roman" w:hAnsi="Times New Roman" w:cs="Times New Roman"/>
                <w:color w:val="000000"/>
              </w:rPr>
              <w:t xml:space="preserve"> </w:t>
            </w:r>
            <w:r w:rsidR="00F32021">
              <w:rPr>
                <w:rFonts w:ascii="Times New Roman" w:hAnsi="Times New Roman" w:cs="Times New Roman"/>
                <w:color w:val="000000"/>
              </w:rPr>
              <w:t>in the</w:t>
            </w:r>
            <w:r w:rsidR="00192223">
              <w:rPr>
                <w:rFonts w:ascii="Times New Roman" w:hAnsi="Times New Roman" w:cs="Times New Roman"/>
                <w:color w:val="000000"/>
              </w:rPr>
              <w:t xml:space="preserve"> reports will be utilized </w:t>
            </w:r>
            <w:r w:rsidR="00F32021">
              <w:rPr>
                <w:rFonts w:ascii="Times New Roman" w:hAnsi="Times New Roman" w:cs="Times New Roman"/>
                <w:color w:val="000000"/>
              </w:rPr>
              <w:t>for the “call for proposals” information package</w:t>
            </w:r>
            <w:r>
              <w:rPr>
                <w:rFonts w:ascii="Times New Roman" w:hAnsi="Times New Roman" w:cs="Times New Roman"/>
                <w:color w:val="000000"/>
              </w:rPr>
              <w:t xml:space="preserve"> in</w:t>
            </w:r>
            <w:r w:rsidR="00F32021">
              <w:rPr>
                <w:rFonts w:ascii="Times New Roman" w:hAnsi="Times New Roman" w:cs="Times New Roman"/>
                <w:color w:val="000000"/>
              </w:rPr>
              <w:t xml:space="preserve"> 2019. </w:t>
            </w:r>
          </w:p>
        </w:tc>
        <w:tc>
          <w:tcPr>
            <w:tcW w:w="1620" w:type="dxa"/>
            <w:tcBorders>
              <w:top w:val="single" w:sz="4" w:space="0" w:color="auto"/>
              <w:bottom w:val="single" w:sz="4" w:space="0" w:color="auto"/>
            </w:tcBorders>
          </w:tcPr>
          <w:p w:rsidR="00062A8F" w:rsidRDefault="00062A8F" w:rsidP="00062A8F">
            <w:pPr>
              <w:spacing w:before="40" w:after="40"/>
            </w:pPr>
          </w:p>
        </w:tc>
      </w:tr>
      <w:tr w:rsidR="0072370E" w:rsidTr="000818C1">
        <w:trPr>
          <w:trHeight w:val="692"/>
        </w:trPr>
        <w:tc>
          <w:tcPr>
            <w:tcW w:w="10592" w:type="dxa"/>
            <w:gridSpan w:val="5"/>
            <w:tcBorders>
              <w:top w:val="single" w:sz="4" w:space="0" w:color="auto"/>
              <w:bottom w:val="single" w:sz="4" w:space="0" w:color="auto"/>
            </w:tcBorders>
          </w:tcPr>
          <w:p w:rsidR="0072370E" w:rsidRDefault="0072370E" w:rsidP="00062A8F">
            <w:pPr>
              <w:spacing w:before="40" w:after="40"/>
            </w:pPr>
            <w:r w:rsidRPr="0072370E">
              <w:rPr>
                <w:rFonts w:ascii="Times New Roman" w:hAnsi="Times New Roman"/>
                <w:b/>
                <w:bCs/>
              </w:rPr>
              <w:t>Output 3.5:</w:t>
            </w:r>
            <w:r w:rsidRPr="000737C3">
              <w:rPr>
                <w:rFonts w:ascii="Times New Roman" w:hAnsi="Times New Roman"/>
                <w:bCs/>
              </w:rPr>
              <w:t xml:space="preserve"> Financial Support Scheme established to support private sector investment in village-based </w:t>
            </w:r>
            <w:r w:rsidR="00EC5A75" w:rsidRPr="000737C3">
              <w:rPr>
                <w:rFonts w:ascii="Times New Roman" w:hAnsi="Times New Roman"/>
                <w:bCs/>
              </w:rPr>
              <w:t>energization</w:t>
            </w:r>
            <w:r w:rsidRPr="000737C3">
              <w:rPr>
                <w:rFonts w:ascii="Times New Roman" w:hAnsi="Times New Roman"/>
                <w:bCs/>
              </w:rPr>
              <w:t xml:space="preserve"> through mini-grids/Energy Centres.</w:t>
            </w:r>
          </w:p>
        </w:tc>
      </w:tr>
      <w:tr w:rsidR="00504B7E" w:rsidTr="00EE0947">
        <w:trPr>
          <w:trHeight w:val="1055"/>
        </w:trPr>
        <w:tc>
          <w:tcPr>
            <w:tcW w:w="2042" w:type="dxa"/>
            <w:tcBorders>
              <w:top w:val="single" w:sz="4" w:space="0" w:color="auto"/>
              <w:bottom w:val="single" w:sz="4" w:space="0" w:color="auto"/>
            </w:tcBorders>
          </w:tcPr>
          <w:p w:rsidR="00504B7E" w:rsidRPr="00A31A0D" w:rsidRDefault="00504B7E" w:rsidP="00504B7E">
            <w:pPr>
              <w:pStyle w:val="ListParagraph"/>
              <w:spacing w:before="40" w:after="40"/>
              <w:ind w:left="162"/>
              <w:rPr>
                <w:color w:val="000000"/>
              </w:rPr>
            </w:pPr>
            <w:r w:rsidRPr="00A31A0D">
              <w:rPr>
                <w:color w:val="000000"/>
              </w:rPr>
              <w:t xml:space="preserve">Financial Support Scheme </w:t>
            </w:r>
            <w:r>
              <w:rPr>
                <w:color w:val="000000"/>
              </w:rPr>
              <w:t xml:space="preserve">(FSS) </w:t>
            </w:r>
            <w:r w:rsidRPr="00A31A0D">
              <w:rPr>
                <w:color w:val="000000"/>
              </w:rPr>
              <w:t>established and operational</w:t>
            </w:r>
          </w:p>
        </w:tc>
        <w:tc>
          <w:tcPr>
            <w:tcW w:w="1440" w:type="dxa"/>
            <w:tcBorders>
              <w:top w:val="single" w:sz="4" w:space="0" w:color="auto"/>
              <w:bottom w:val="single" w:sz="4" w:space="0" w:color="auto"/>
            </w:tcBorders>
          </w:tcPr>
          <w:p w:rsidR="00504B7E" w:rsidRPr="00A31A0D" w:rsidRDefault="00504B7E" w:rsidP="00504B7E">
            <w:pPr>
              <w:spacing w:before="40" w:after="40"/>
              <w:rPr>
                <w:color w:val="000000"/>
              </w:rPr>
            </w:pPr>
            <w:r w:rsidRPr="00A31A0D">
              <w:rPr>
                <w:color w:val="000000"/>
              </w:rPr>
              <w:t>Disbursement of funds from FSS for establishment of mini-grids and energy centres</w:t>
            </w:r>
          </w:p>
        </w:tc>
        <w:tc>
          <w:tcPr>
            <w:tcW w:w="1440" w:type="dxa"/>
            <w:tcBorders>
              <w:top w:val="single" w:sz="4" w:space="0" w:color="auto"/>
              <w:bottom w:val="single" w:sz="4" w:space="0" w:color="auto"/>
            </w:tcBorders>
          </w:tcPr>
          <w:p w:rsidR="00504B7E" w:rsidRDefault="00504B7E" w:rsidP="00504B7E">
            <w:r w:rsidRPr="00A31A0D">
              <w:t>Financial Support Scheme available and operational within 18 months of project initiation</w:t>
            </w:r>
          </w:p>
        </w:tc>
        <w:tc>
          <w:tcPr>
            <w:tcW w:w="4050" w:type="dxa"/>
            <w:tcBorders>
              <w:top w:val="single" w:sz="4" w:space="0" w:color="auto"/>
              <w:bottom w:val="single" w:sz="4" w:space="0" w:color="auto"/>
            </w:tcBorders>
            <w:shd w:val="clear" w:color="auto" w:fill="FFFFFF" w:themeFill="background1"/>
          </w:tcPr>
          <w:p w:rsidR="00504B7E" w:rsidRPr="002C2B0D" w:rsidRDefault="002C2B0D" w:rsidP="002C2B0D">
            <w:pPr>
              <w:jc w:val="both"/>
              <w:rPr>
                <w:bCs/>
              </w:rPr>
            </w:pPr>
            <w:r w:rsidRPr="002C2B0D">
              <w:rPr>
                <w:bCs/>
              </w:rPr>
              <w:t xml:space="preserve">The focus of Component 3 </w:t>
            </w:r>
            <w:r w:rsidRPr="002C2B0D">
              <w:rPr>
                <w:bCs/>
              </w:rPr>
              <w:t xml:space="preserve">of the SE4All Project </w:t>
            </w:r>
            <w:r w:rsidRPr="002C2B0D">
              <w:rPr>
                <w:bCs/>
              </w:rPr>
              <w:t xml:space="preserve">is the ‘Successful establishment of a village-based energy service delivery model for replication nationally’. Key to the success of this component is the </w:t>
            </w:r>
            <w:r w:rsidRPr="002C2B0D">
              <w:rPr>
                <w:bCs/>
              </w:rPr>
              <w:t xml:space="preserve">Financial Support Scheme (FSS), </w:t>
            </w:r>
            <w:r w:rsidRPr="002C2B0D">
              <w:rPr>
                <w:bCs/>
              </w:rPr>
              <w:t>targeted allocation of grant funding to qualifying project developers focusing on both mini-grids and energy centres</w:t>
            </w:r>
            <w:r w:rsidRPr="002C2B0D">
              <w:rPr>
                <w:bCs/>
              </w:rPr>
              <w:t xml:space="preserve">. The appointment and signing of an Agreement with the FSS </w:t>
            </w:r>
            <w:r w:rsidRPr="002C2B0D">
              <w:rPr>
                <w:bCs/>
              </w:rPr>
              <w:t>Managing Agent (MA</w:t>
            </w:r>
            <w:r w:rsidRPr="002C2B0D">
              <w:rPr>
                <w:bCs/>
              </w:rPr>
              <w:t xml:space="preserve">), UNCDF, took place in December 2018 to January 2019. </w:t>
            </w:r>
          </w:p>
          <w:p w:rsidR="002C2B0D" w:rsidRPr="002C2B0D" w:rsidRDefault="002C2B0D" w:rsidP="002C2B0D">
            <w:pPr>
              <w:jc w:val="both"/>
              <w:rPr>
                <w:bCs/>
              </w:rPr>
            </w:pPr>
          </w:p>
          <w:p w:rsidR="002C2B0D" w:rsidRPr="000A2C29" w:rsidRDefault="002C2B0D" w:rsidP="002C2B0D">
            <w:pPr>
              <w:jc w:val="both"/>
            </w:pPr>
            <w:r w:rsidRPr="002C2B0D">
              <w:rPr>
                <w:rFonts w:eastAsia="Calibri"/>
              </w:rPr>
              <w:t>The mandate of MA is to administer the FSS Fund in support of the development and promotion of mini-grid energy technologies and energy centres in Lesotho. Its objective is to ensure mini-grid/energy centre operations improve access to energy, enhance technical knowledge and develop best practice frameworks which collectively contribute to the improvement of living conditions of people in Lesotho.</w:t>
            </w:r>
          </w:p>
        </w:tc>
        <w:tc>
          <w:tcPr>
            <w:tcW w:w="1620" w:type="dxa"/>
            <w:tcBorders>
              <w:top w:val="single" w:sz="4" w:space="0" w:color="auto"/>
              <w:bottom w:val="single" w:sz="4" w:space="0" w:color="auto"/>
            </w:tcBorders>
          </w:tcPr>
          <w:p w:rsidR="00504B7E" w:rsidRPr="00A13ECF" w:rsidRDefault="001C17A6" w:rsidP="00273397">
            <w:pPr>
              <w:spacing w:before="40" w:after="40"/>
              <w:rPr>
                <w:rFonts w:ascii="Times New Roman" w:hAnsi="Times New Roman" w:cs="Times New Roman"/>
              </w:rPr>
            </w:pPr>
            <w:r w:rsidRPr="00A13ECF">
              <w:rPr>
                <w:rFonts w:ascii="Times New Roman" w:hAnsi="Times New Roman" w:cs="Times New Roman"/>
              </w:rPr>
              <w:t xml:space="preserve">Due to UNDP </w:t>
            </w:r>
            <w:r w:rsidR="00353198">
              <w:rPr>
                <w:rFonts w:ascii="Times New Roman" w:hAnsi="Times New Roman" w:cs="Times New Roman"/>
              </w:rPr>
              <w:t xml:space="preserve">micro-capital grant policy it </w:t>
            </w:r>
            <w:r w:rsidR="002C2B0D">
              <w:rPr>
                <w:rFonts w:ascii="Times New Roman" w:hAnsi="Times New Roman" w:cs="Times New Roman"/>
              </w:rPr>
              <w:t>was</w:t>
            </w:r>
            <w:r w:rsidR="00353198">
              <w:rPr>
                <w:rFonts w:ascii="Times New Roman" w:hAnsi="Times New Roman" w:cs="Times New Roman"/>
              </w:rPr>
              <w:t xml:space="preserve"> </w:t>
            </w:r>
            <w:r w:rsidR="00D55B2B">
              <w:rPr>
                <w:rFonts w:ascii="Times New Roman" w:hAnsi="Times New Roman" w:cs="Times New Roman"/>
              </w:rPr>
              <w:t xml:space="preserve">not </w:t>
            </w:r>
            <w:r w:rsidR="00353198">
              <w:rPr>
                <w:rFonts w:ascii="Times New Roman" w:hAnsi="Times New Roman" w:cs="Times New Roman"/>
              </w:rPr>
              <w:t xml:space="preserve">possible to engage the competitively </w:t>
            </w:r>
            <w:r w:rsidRPr="00A13ECF">
              <w:rPr>
                <w:rFonts w:ascii="Times New Roman" w:hAnsi="Times New Roman" w:cs="Times New Roman"/>
              </w:rPr>
              <w:t xml:space="preserve">selected </w:t>
            </w:r>
            <w:r w:rsidR="00353198" w:rsidRPr="00A13ECF">
              <w:rPr>
                <w:rFonts w:ascii="Times New Roman" w:hAnsi="Times New Roman" w:cs="Times New Roman"/>
              </w:rPr>
              <w:t>M</w:t>
            </w:r>
            <w:r w:rsidR="00353198">
              <w:rPr>
                <w:rFonts w:ascii="Times New Roman" w:hAnsi="Times New Roman" w:cs="Times New Roman"/>
              </w:rPr>
              <w:t xml:space="preserve">anagement </w:t>
            </w:r>
            <w:r w:rsidRPr="00A13ECF">
              <w:rPr>
                <w:rFonts w:ascii="Times New Roman" w:hAnsi="Times New Roman" w:cs="Times New Roman"/>
              </w:rPr>
              <w:t>A</w:t>
            </w:r>
            <w:r w:rsidR="00607E73">
              <w:rPr>
                <w:rFonts w:ascii="Times New Roman" w:hAnsi="Times New Roman" w:cs="Times New Roman"/>
              </w:rPr>
              <w:t>gent (local bank) instead UNCDF was recommended as the best agency to host FSS</w:t>
            </w:r>
            <w:r w:rsidR="002C2B0D">
              <w:rPr>
                <w:rFonts w:ascii="Times New Roman" w:hAnsi="Times New Roman" w:cs="Times New Roman"/>
              </w:rPr>
              <w:t xml:space="preserve"> fund</w:t>
            </w:r>
            <w:r w:rsidR="00607E73">
              <w:rPr>
                <w:rFonts w:ascii="Times New Roman" w:hAnsi="Times New Roman" w:cs="Times New Roman"/>
              </w:rPr>
              <w:t>.</w:t>
            </w:r>
            <w:r w:rsidRPr="00A13ECF">
              <w:rPr>
                <w:rFonts w:ascii="Times New Roman" w:hAnsi="Times New Roman" w:cs="Times New Roman"/>
              </w:rPr>
              <w:t xml:space="preserve"> </w:t>
            </w:r>
          </w:p>
        </w:tc>
      </w:tr>
      <w:tr w:rsidR="002D16CB" w:rsidTr="000818C1">
        <w:trPr>
          <w:trHeight w:val="530"/>
        </w:trPr>
        <w:tc>
          <w:tcPr>
            <w:tcW w:w="10592" w:type="dxa"/>
            <w:gridSpan w:val="5"/>
            <w:tcBorders>
              <w:top w:val="single" w:sz="4" w:space="0" w:color="auto"/>
              <w:bottom w:val="single" w:sz="4" w:space="0" w:color="auto"/>
            </w:tcBorders>
          </w:tcPr>
          <w:p w:rsidR="002D16CB" w:rsidRPr="002D16CB" w:rsidRDefault="0004219B" w:rsidP="002D16CB">
            <w:pPr>
              <w:contextualSpacing/>
              <w:rPr>
                <w:rFonts w:ascii="Times New Roman" w:hAnsi="Times New Roman"/>
                <w:color w:val="000000"/>
              </w:rPr>
            </w:pPr>
            <w:r>
              <w:rPr>
                <w:rFonts w:ascii="Times New Roman" w:hAnsi="Times New Roman"/>
                <w:b/>
                <w:color w:val="000000"/>
              </w:rPr>
              <w:t xml:space="preserve">Outcome 4: </w:t>
            </w:r>
            <w:r>
              <w:rPr>
                <w:rFonts w:ascii="Times New Roman" w:hAnsi="Times New Roman"/>
              </w:rPr>
              <w:t>Outreach programme and dissemination of project experience/best practices/lessons learned for replication nationally and throughout the region.</w:t>
            </w:r>
          </w:p>
        </w:tc>
      </w:tr>
      <w:tr w:rsidR="002D16CB" w:rsidTr="000818C1">
        <w:trPr>
          <w:trHeight w:val="710"/>
        </w:trPr>
        <w:tc>
          <w:tcPr>
            <w:tcW w:w="10592" w:type="dxa"/>
            <w:gridSpan w:val="5"/>
            <w:tcBorders>
              <w:top w:val="single" w:sz="4" w:space="0" w:color="auto"/>
              <w:bottom w:val="single" w:sz="4" w:space="0" w:color="auto"/>
            </w:tcBorders>
          </w:tcPr>
          <w:p w:rsidR="002D16CB" w:rsidRPr="007D75B0" w:rsidRDefault="007D75B0" w:rsidP="007D75B0">
            <w:pPr>
              <w:rPr>
                <w:rFonts w:ascii="Times New Roman" w:eastAsia="Calibri" w:hAnsi="Times New Roman"/>
              </w:rPr>
            </w:pPr>
            <w:r w:rsidRPr="00EA7E02">
              <w:rPr>
                <w:rFonts w:ascii="Times New Roman" w:eastAsia="Calibri" w:hAnsi="Times New Roman"/>
                <w:b/>
              </w:rPr>
              <w:lastRenderedPageBreak/>
              <w:t>Output 4.1:</w:t>
            </w:r>
            <w:r w:rsidRPr="00EA7E02">
              <w:rPr>
                <w:rFonts w:ascii="Times New Roman" w:eastAsia="Calibri" w:hAnsi="Times New Roman"/>
              </w:rPr>
              <w:t xml:space="preserve"> National Plan to implement outreach/promotional activities targeting both domest</w:t>
            </w:r>
            <w:r>
              <w:rPr>
                <w:rFonts w:ascii="Times New Roman" w:eastAsia="Calibri" w:hAnsi="Times New Roman"/>
              </w:rPr>
              <w:t>ic and international investors.</w:t>
            </w:r>
          </w:p>
        </w:tc>
      </w:tr>
      <w:tr w:rsidR="002D16CB" w:rsidTr="00EE0947">
        <w:trPr>
          <w:trHeight w:val="1055"/>
        </w:trPr>
        <w:tc>
          <w:tcPr>
            <w:tcW w:w="2042" w:type="dxa"/>
            <w:tcBorders>
              <w:top w:val="single" w:sz="4" w:space="0" w:color="auto"/>
              <w:bottom w:val="single" w:sz="4" w:space="0" w:color="auto"/>
            </w:tcBorders>
          </w:tcPr>
          <w:p w:rsidR="002D16CB" w:rsidRPr="00EE0947" w:rsidRDefault="00EE0947" w:rsidP="00EE0947">
            <w:pPr>
              <w:spacing w:before="40" w:after="40"/>
              <w:rPr>
                <w:rFonts w:ascii="Times New Roman" w:hAnsi="Times New Roman"/>
              </w:rPr>
            </w:pPr>
            <w:r>
              <w:rPr>
                <w:rFonts w:ascii="Times New Roman" w:hAnsi="Times New Roman"/>
              </w:rPr>
              <w:t>Output</w:t>
            </w:r>
            <w:r w:rsidR="007D75B0" w:rsidRPr="00BB3CBA">
              <w:rPr>
                <w:rFonts w:ascii="Times New Roman" w:hAnsi="Times New Roman"/>
              </w:rPr>
              <w:t>4.1.1Develop National Plan to implement outreach</w:t>
            </w:r>
            <w:r>
              <w:rPr>
                <w:rFonts w:ascii="Times New Roman" w:hAnsi="Times New Roman"/>
              </w:rPr>
              <w:t>/promotional activities.</w:t>
            </w:r>
            <w:r w:rsidR="007D75B0" w:rsidRPr="00BB3CBA">
              <w:rPr>
                <w:rFonts w:ascii="Times New Roman" w:hAnsi="Times New Roman"/>
              </w:rPr>
              <w:t xml:space="preserve"> </w:t>
            </w:r>
          </w:p>
        </w:tc>
        <w:tc>
          <w:tcPr>
            <w:tcW w:w="1440" w:type="dxa"/>
            <w:tcBorders>
              <w:top w:val="single" w:sz="4" w:space="0" w:color="auto"/>
              <w:bottom w:val="single" w:sz="4" w:space="0" w:color="auto"/>
            </w:tcBorders>
          </w:tcPr>
          <w:p w:rsidR="00BB3CBA" w:rsidRPr="00A31A0D" w:rsidRDefault="00BB3CBA" w:rsidP="00504B7E">
            <w:pPr>
              <w:spacing w:before="40" w:after="40"/>
              <w:rPr>
                <w:color w:val="000000"/>
              </w:rPr>
            </w:pPr>
            <w:r w:rsidRPr="000737C3">
              <w:rPr>
                <w:rFonts w:ascii="Times New Roman" w:hAnsi="Times New Roman"/>
              </w:rPr>
              <w:t>Availability of national plan</w:t>
            </w:r>
          </w:p>
        </w:tc>
        <w:tc>
          <w:tcPr>
            <w:tcW w:w="1440" w:type="dxa"/>
            <w:tcBorders>
              <w:top w:val="single" w:sz="4" w:space="0" w:color="auto"/>
              <w:bottom w:val="single" w:sz="4" w:space="0" w:color="auto"/>
            </w:tcBorders>
          </w:tcPr>
          <w:p w:rsidR="00BB3CBA" w:rsidRPr="000737C3" w:rsidRDefault="00BB3CBA" w:rsidP="00BB3CBA">
            <w:pPr>
              <w:rPr>
                <w:rFonts w:ascii="Times New Roman" w:hAnsi="Times New Roman"/>
              </w:rPr>
            </w:pPr>
            <w:r w:rsidRPr="000737C3">
              <w:rPr>
                <w:rFonts w:ascii="Times New Roman" w:hAnsi="Times New Roman"/>
              </w:rPr>
              <w:t>Completed within 24 months of project initiation.</w:t>
            </w:r>
          </w:p>
          <w:p w:rsidR="002D16CB" w:rsidRDefault="002D16CB" w:rsidP="00504B7E"/>
          <w:p w:rsidR="00BB3CBA" w:rsidRPr="00A31A0D" w:rsidRDefault="00BB3CBA" w:rsidP="00504B7E"/>
        </w:tc>
        <w:tc>
          <w:tcPr>
            <w:tcW w:w="4050" w:type="dxa"/>
            <w:tcBorders>
              <w:top w:val="single" w:sz="4" w:space="0" w:color="auto"/>
              <w:bottom w:val="single" w:sz="4" w:space="0" w:color="auto"/>
            </w:tcBorders>
          </w:tcPr>
          <w:p w:rsidR="00EE0947" w:rsidRDefault="00EE0947" w:rsidP="00EE0947">
            <w:pPr>
              <w:jc w:val="both"/>
              <w:rPr>
                <w:sz w:val="20"/>
                <w:szCs w:val="20"/>
              </w:rPr>
            </w:pPr>
            <w:r>
              <w:rPr>
                <w:sz w:val="20"/>
                <w:szCs w:val="20"/>
              </w:rPr>
              <w:t>Draft Communication Strategy and National Plan to implement Outreach programme was developed in 2018. The Strategy will be presented to the PSC for approval in 2019.</w:t>
            </w:r>
          </w:p>
          <w:p w:rsidR="00EE0947" w:rsidRDefault="00EE0947" w:rsidP="00EE0947">
            <w:pPr>
              <w:jc w:val="both"/>
              <w:rPr>
                <w:sz w:val="20"/>
                <w:szCs w:val="20"/>
              </w:rPr>
            </w:pPr>
          </w:p>
          <w:p w:rsidR="002D16CB" w:rsidRDefault="00EE0947" w:rsidP="00EE0947">
            <w:pPr>
              <w:jc w:val="both"/>
              <w:rPr>
                <w:sz w:val="20"/>
                <w:szCs w:val="20"/>
              </w:rPr>
            </w:pPr>
            <w:r>
              <w:rPr>
                <w:sz w:val="20"/>
                <w:szCs w:val="20"/>
              </w:rPr>
              <w:t>The project team is currently developing and procuring promotional materials for the project</w:t>
            </w:r>
            <w:r w:rsidR="00BA4C86">
              <w:rPr>
                <w:sz w:val="20"/>
                <w:szCs w:val="20"/>
              </w:rPr>
              <w:t>.</w:t>
            </w:r>
          </w:p>
          <w:p w:rsidR="00EE0947" w:rsidRPr="00A13ECF" w:rsidRDefault="00EE0947" w:rsidP="003C29D4">
            <w:pPr>
              <w:jc w:val="both"/>
              <w:rPr>
                <w:sz w:val="20"/>
                <w:szCs w:val="20"/>
              </w:rPr>
            </w:pPr>
            <w:r>
              <w:rPr>
                <w:sz w:val="20"/>
                <w:szCs w:val="20"/>
              </w:rPr>
              <w:t xml:space="preserve">The Project team formally introduced to project to the Districts ’Councils in the five </w:t>
            </w:r>
            <w:r w:rsidR="003C29D4">
              <w:rPr>
                <w:sz w:val="20"/>
                <w:szCs w:val="20"/>
              </w:rPr>
              <w:t>selected districts.</w:t>
            </w:r>
            <w:r>
              <w:rPr>
                <w:sz w:val="20"/>
                <w:szCs w:val="20"/>
              </w:rPr>
              <w:t xml:space="preserve"> </w:t>
            </w:r>
          </w:p>
        </w:tc>
        <w:tc>
          <w:tcPr>
            <w:tcW w:w="1620" w:type="dxa"/>
            <w:tcBorders>
              <w:top w:val="single" w:sz="4" w:space="0" w:color="auto"/>
              <w:bottom w:val="single" w:sz="4" w:space="0" w:color="auto"/>
            </w:tcBorders>
          </w:tcPr>
          <w:p w:rsidR="002D16CB" w:rsidRPr="00A13ECF" w:rsidRDefault="002D16CB" w:rsidP="005F4440">
            <w:pPr>
              <w:spacing w:before="40" w:after="40"/>
              <w:rPr>
                <w:sz w:val="20"/>
                <w:szCs w:val="20"/>
              </w:rPr>
            </w:pPr>
          </w:p>
        </w:tc>
      </w:tr>
    </w:tbl>
    <w:p w:rsidR="00B77C34" w:rsidRDefault="00B77C34"/>
    <w:tbl>
      <w:tblPr>
        <w:tblStyle w:val="TableGrid"/>
        <w:tblW w:w="10260" w:type="dxa"/>
        <w:tblInd w:w="108" w:type="dxa"/>
        <w:tblLayout w:type="fixed"/>
        <w:tblLook w:val="04A0" w:firstRow="1" w:lastRow="0" w:firstColumn="1" w:lastColumn="0" w:noHBand="0" w:noVBand="1"/>
      </w:tblPr>
      <w:tblGrid>
        <w:gridCol w:w="10260"/>
      </w:tblGrid>
      <w:tr w:rsidR="00836C88" w:rsidRPr="000F0C74" w:rsidTr="00ED327A">
        <w:tc>
          <w:tcPr>
            <w:tcW w:w="10260" w:type="dxa"/>
            <w:shd w:val="pct12" w:color="auto" w:fill="auto"/>
          </w:tcPr>
          <w:p w:rsidR="00836C88" w:rsidRPr="008B0A98" w:rsidRDefault="00836C88" w:rsidP="00E8193A">
            <w:pPr>
              <w:spacing w:before="120" w:after="120"/>
              <w:rPr>
                <w:rFonts w:ascii="Arial" w:hAnsi="Arial" w:cs="Arial"/>
                <w:sz w:val="20"/>
                <w:szCs w:val="20"/>
              </w:rPr>
            </w:pPr>
            <w:r w:rsidRPr="008B0A98">
              <w:rPr>
                <w:rFonts w:ascii="Arial" w:hAnsi="Arial" w:cs="Arial"/>
                <w:b/>
                <w:sz w:val="20"/>
                <w:szCs w:val="20"/>
              </w:rPr>
              <w:t>II.</w:t>
            </w:r>
            <w:r w:rsidRPr="008B0A98">
              <w:rPr>
                <w:rFonts w:ascii="Arial" w:hAnsi="Arial" w:cs="Arial"/>
                <w:sz w:val="20"/>
                <w:szCs w:val="20"/>
              </w:rPr>
              <w:t xml:space="preserve"> </w:t>
            </w:r>
            <w:r w:rsidR="00E8193A" w:rsidRPr="008B0A98">
              <w:rPr>
                <w:rFonts w:ascii="Arial" w:hAnsi="Arial" w:cs="Arial"/>
                <w:b/>
                <w:sz w:val="20"/>
                <w:szCs w:val="20"/>
              </w:rPr>
              <w:t>Lessons Learnt</w:t>
            </w:r>
            <w:r w:rsidR="00E8193A">
              <w:rPr>
                <w:rFonts w:ascii="Arial" w:hAnsi="Arial" w:cs="Arial"/>
                <w:b/>
                <w:sz w:val="20"/>
                <w:szCs w:val="20"/>
              </w:rPr>
              <w:t xml:space="preserve"> and Opportunities</w:t>
            </w:r>
            <w:r w:rsidR="00E8193A" w:rsidRPr="008B0A98">
              <w:rPr>
                <w:rFonts w:ascii="Arial" w:hAnsi="Arial" w:cs="Arial"/>
                <w:b/>
                <w:sz w:val="20"/>
                <w:szCs w:val="20"/>
              </w:rPr>
              <w:t xml:space="preserve">: </w:t>
            </w:r>
            <w:r w:rsidR="00E8193A" w:rsidRPr="008B0A98">
              <w:rPr>
                <w:rFonts w:ascii="Arial" w:hAnsi="Arial" w:cs="Arial"/>
                <w:b/>
                <w:i/>
                <w:sz w:val="20"/>
                <w:szCs w:val="20"/>
              </w:rPr>
              <w:t>(Please describe new understanding or insights gained from project activities that can contribute to improving future project design and implementation. Give specific examples)</w:t>
            </w:r>
          </w:p>
        </w:tc>
      </w:tr>
      <w:tr w:rsidR="00836C88" w:rsidRPr="000F0C74" w:rsidTr="00BA4C86">
        <w:trPr>
          <w:trHeight w:val="413"/>
        </w:trPr>
        <w:tc>
          <w:tcPr>
            <w:tcW w:w="10260" w:type="dxa"/>
          </w:tcPr>
          <w:p w:rsidR="00981417" w:rsidRDefault="00A06163" w:rsidP="00981417">
            <w:r>
              <w:t xml:space="preserve"> </w:t>
            </w:r>
            <w:r w:rsidR="00981417">
              <w:t xml:space="preserve">The national energy survey was a huge eye opener for its participants and the project team regarding timeframe required for this activity.  This activity requires more than one year to complete, and close to 3 million Maloti. The survey encompasses data collection, data cleaning and analysis, a survey report and database. We learned that data cleaning for just one season took more than two months, way beyond the anticipated timeframe. The duration for energy surveys should be carefully planned, and activities well resourced. </w:t>
            </w:r>
          </w:p>
          <w:p w:rsidR="00B77C34" w:rsidRDefault="00981417" w:rsidP="00981417">
            <w:pPr>
              <w:contextualSpacing/>
              <w:jc w:val="both"/>
            </w:pPr>
            <w:r>
              <w:t>One other reason which could have contributed to some delays could be that BOS and DOE personnel were on the learning curve, and they went through training, between the survey activities, and this delayed the whole survey process.</w:t>
            </w:r>
          </w:p>
          <w:p w:rsidR="00981417" w:rsidRDefault="00981417" w:rsidP="00981417">
            <w:pPr>
              <w:contextualSpacing/>
              <w:jc w:val="both"/>
            </w:pPr>
          </w:p>
          <w:p w:rsidR="003B7CEF" w:rsidRDefault="003B7CEF" w:rsidP="00981417">
            <w:pPr>
              <w:contextualSpacing/>
              <w:jc w:val="both"/>
            </w:pPr>
            <w:r>
              <w:t>The UNDP micro-capital grant policy – noting that UNDP cannot engage the private sector for on-granting purposes. UNCDF is well placed to perform the functions of the Management Agent for SE4All due to its expertise and experience in similar assignment</w:t>
            </w:r>
            <w:r w:rsidR="004D21CF">
              <w:t>s</w:t>
            </w:r>
            <w:r>
              <w:t xml:space="preserve"> in the region. </w:t>
            </w:r>
          </w:p>
          <w:p w:rsidR="001520FC" w:rsidRPr="005605EC" w:rsidRDefault="001520FC" w:rsidP="00CA3076">
            <w:pPr>
              <w:contextualSpacing/>
              <w:jc w:val="both"/>
            </w:pPr>
          </w:p>
        </w:tc>
      </w:tr>
      <w:tr w:rsidR="005F2458" w:rsidRPr="000F0C74" w:rsidTr="00ED327A">
        <w:tc>
          <w:tcPr>
            <w:tcW w:w="10260" w:type="dxa"/>
            <w:shd w:val="pct12" w:color="auto" w:fill="auto"/>
          </w:tcPr>
          <w:p w:rsidR="005F2458" w:rsidRPr="008B0A98" w:rsidRDefault="005F2458" w:rsidP="0072370E">
            <w:pPr>
              <w:spacing w:before="120" w:line="360" w:lineRule="auto"/>
              <w:rPr>
                <w:rFonts w:ascii="Arial" w:hAnsi="Arial" w:cs="Arial"/>
                <w:sz w:val="20"/>
                <w:szCs w:val="20"/>
              </w:rPr>
            </w:pPr>
            <w:r w:rsidRPr="008B0A98">
              <w:rPr>
                <w:rFonts w:ascii="Arial" w:hAnsi="Arial" w:cs="Arial"/>
                <w:b/>
                <w:sz w:val="20"/>
                <w:szCs w:val="20"/>
              </w:rPr>
              <w:t>III.</w:t>
            </w:r>
            <w:r w:rsidRPr="008B0A98">
              <w:rPr>
                <w:rFonts w:ascii="Arial" w:hAnsi="Arial" w:cs="Arial"/>
                <w:sz w:val="20"/>
                <w:szCs w:val="20"/>
              </w:rPr>
              <w:t xml:space="preserve"> </w:t>
            </w:r>
            <w:r w:rsidRPr="008B0A98">
              <w:rPr>
                <w:rFonts w:ascii="Arial" w:hAnsi="Arial" w:cs="Arial"/>
                <w:b/>
                <w:bCs/>
                <w:color w:val="000000"/>
                <w:sz w:val="20"/>
                <w:szCs w:val="20"/>
              </w:rPr>
              <w:t>Gender Mainstreaming (</w:t>
            </w:r>
            <w:r w:rsidRPr="008B0A98">
              <w:rPr>
                <w:rFonts w:ascii="Arial" w:hAnsi="Arial" w:cs="Arial"/>
                <w:b/>
                <w:bCs/>
                <w:i/>
                <w:color w:val="000000"/>
                <w:sz w:val="20"/>
                <w:szCs w:val="20"/>
              </w:rPr>
              <w:t>how did project serve men and women, identify # of men/women served</w:t>
            </w:r>
            <w:r w:rsidRPr="008B0A98">
              <w:rPr>
                <w:rFonts w:ascii="Arial" w:hAnsi="Arial" w:cs="Arial"/>
                <w:b/>
                <w:bCs/>
                <w:color w:val="000000"/>
                <w:sz w:val="20"/>
                <w:szCs w:val="20"/>
              </w:rPr>
              <w:t>)</w:t>
            </w:r>
          </w:p>
        </w:tc>
      </w:tr>
      <w:tr w:rsidR="005F2458" w:rsidRPr="000F0C74" w:rsidTr="00A06163">
        <w:trPr>
          <w:trHeight w:val="647"/>
        </w:trPr>
        <w:tc>
          <w:tcPr>
            <w:tcW w:w="10260" w:type="dxa"/>
          </w:tcPr>
          <w:p w:rsidR="009E423A" w:rsidRPr="002E5363" w:rsidRDefault="009E423A" w:rsidP="00935620">
            <w:pPr>
              <w:pStyle w:val="NormalWeb"/>
              <w:spacing w:line="288" w:lineRule="atLeast"/>
              <w:jc w:val="both"/>
              <w:rPr>
                <w:color w:val="000000"/>
                <w:sz w:val="22"/>
                <w:szCs w:val="22"/>
              </w:rPr>
            </w:pPr>
            <w:r w:rsidRPr="002E5363">
              <w:rPr>
                <w:sz w:val="22"/>
                <w:szCs w:val="22"/>
              </w:rPr>
              <w:t xml:space="preserve">The Department of Energy nominated two Gender Focal Points (GFPs) among staff members to </w:t>
            </w:r>
            <w:r w:rsidRPr="002E5363">
              <w:rPr>
                <w:color w:val="000000"/>
                <w:sz w:val="22"/>
                <w:szCs w:val="22"/>
              </w:rPr>
              <w:t>serve as contact and resource persons within the Department of Energy (DOE)</w:t>
            </w:r>
            <w:r w:rsidRPr="002E5363">
              <w:rPr>
                <w:color w:val="000000"/>
                <w:sz w:val="22"/>
                <w:szCs w:val="22"/>
              </w:rPr>
              <w:t xml:space="preserve"> on Gender related issues</w:t>
            </w:r>
            <w:r w:rsidRPr="002E5363">
              <w:rPr>
                <w:color w:val="000000"/>
                <w:sz w:val="22"/>
                <w:szCs w:val="22"/>
              </w:rPr>
              <w:t xml:space="preserve">. GFPs are tasked </w:t>
            </w:r>
            <w:r w:rsidR="00935620" w:rsidRPr="002E5363">
              <w:rPr>
                <w:color w:val="000000"/>
                <w:sz w:val="22"/>
                <w:szCs w:val="22"/>
              </w:rPr>
              <w:t>with raising</w:t>
            </w:r>
            <w:r w:rsidRPr="002E5363">
              <w:rPr>
                <w:color w:val="000000"/>
                <w:sz w:val="22"/>
                <w:szCs w:val="22"/>
              </w:rPr>
              <w:t xml:space="preserve"> awareness </w:t>
            </w:r>
            <w:r w:rsidRPr="002E5363">
              <w:rPr>
                <w:color w:val="000000"/>
                <w:sz w:val="22"/>
                <w:szCs w:val="22"/>
              </w:rPr>
              <w:t xml:space="preserve">on </w:t>
            </w:r>
            <w:r w:rsidRPr="002E5363">
              <w:rPr>
                <w:color w:val="000000"/>
                <w:sz w:val="22"/>
                <w:szCs w:val="22"/>
              </w:rPr>
              <w:t xml:space="preserve">gender-related </w:t>
            </w:r>
            <w:r w:rsidRPr="002E5363">
              <w:rPr>
                <w:color w:val="000000"/>
                <w:sz w:val="22"/>
                <w:szCs w:val="22"/>
              </w:rPr>
              <w:t>matters</w:t>
            </w:r>
            <w:r w:rsidRPr="002E5363">
              <w:rPr>
                <w:color w:val="000000"/>
                <w:sz w:val="22"/>
                <w:szCs w:val="22"/>
              </w:rPr>
              <w:t xml:space="preserve">, and promote the application of the Gender Mainstreaming concept in the daily work in the staff of the DOE and the energy stakeholders at large. </w:t>
            </w:r>
          </w:p>
          <w:p w:rsidR="00935620" w:rsidRPr="00696D3D" w:rsidRDefault="00935620" w:rsidP="00935620">
            <w:pPr>
              <w:pStyle w:val="NormalWeb"/>
              <w:spacing w:line="288" w:lineRule="atLeast"/>
              <w:jc w:val="both"/>
            </w:pPr>
            <w:r w:rsidRPr="002E5363">
              <w:rPr>
                <w:color w:val="000000"/>
                <w:sz w:val="22"/>
                <w:szCs w:val="22"/>
              </w:rPr>
              <w:t>The TORs for the GFPs were drafted and approved.</w:t>
            </w:r>
          </w:p>
        </w:tc>
      </w:tr>
      <w:tr w:rsidR="00836C88" w:rsidRPr="000F0C74" w:rsidTr="00ED327A">
        <w:tc>
          <w:tcPr>
            <w:tcW w:w="10260" w:type="dxa"/>
            <w:shd w:val="pct12" w:color="auto" w:fill="auto"/>
          </w:tcPr>
          <w:p w:rsidR="00836C88" w:rsidRPr="008B0A98" w:rsidRDefault="000F0C74" w:rsidP="00E8193A">
            <w:pPr>
              <w:spacing w:before="120" w:after="120"/>
              <w:rPr>
                <w:rFonts w:ascii="Arial" w:hAnsi="Arial" w:cs="Arial"/>
                <w:b/>
                <w:i/>
                <w:sz w:val="20"/>
                <w:szCs w:val="20"/>
              </w:rPr>
            </w:pPr>
            <w:r w:rsidRPr="008B0A98">
              <w:rPr>
                <w:rFonts w:ascii="Arial" w:hAnsi="Arial" w:cs="Arial"/>
                <w:b/>
                <w:sz w:val="20"/>
                <w:szCs w:val="20"/>
              </w:rPr>
              <w:t xml:space="preserve">IV. </w:t>
            </w:r>
            <w:r w:rsidR="00E8193A" w:rsidRPr="008B0A98">
              <w:rPr>
                <w:rFonts w:ascii="Arial" w:hAnsi="Arial" w:cs="Arial"/>
                <w:b/>
                <w:bCs/>
                <w:color w:val="000000"/>
                <w:sz w:val="20"/>
                <w:szCs w:val="20"/>
              </w:rPr>
              <w:t xml:space="preserve">Capacity Development (Please explain </w:t>
            </w:r>
            <w:r w:rsidR="00E8193A" w:rsidRPr="008B0A98">
              <w:rPr>
                <w:rFonts w:ascii="Arial" w:hAnsi="Arial" w:cs="Arial"/>
                <w:b/>
                <w:bCs/>
                <w:i/>
                <w:color w:val="000000"/>
                <w:sz w:val="20"/>
                <w:szCs w:val="20"/>
              </w:rPr>
              <w:t>how project activities have contributed to improving institutional policies, systems, strategies and structures. Give specific example of actions undertaken and the results achieved)</w:t>
            </w:r>
          </w:p>
        </w:tc>
      </w:tr>
      <w:tr w:rsidR="00836C88" w:rsidRPr="000F0C74" w:rsidTr="00ED327A">
        <w:tc>
          <w:tcPr>
            <w:tcW w:w="10260" w:type="dxa"/>
          </w:tcPr>
          <w:p w:rsidR="002E5363" w:rsidRDefault="002E5363" w:rsidP="00C56ACE">
            <w:r>
              <w:t xml:space="preserve">Two strategy documents were developed for Lesotho through the SE4All Project </w:t>
            </w:r>
            <w:r w:rsidR="004D21CF">
              <w:t xml:space="preserve">technical and financial </w:t>
            </w:r>
            <w:r>
              <w:t>support.</w:t>
            </w:r>
          </w:p>
          <w:p w:rsidR="002E5363" w:rsidRDefault="002E5363" w:rsidP="002E5363">
            <w:pPr>
              <w:pStyle w:val="ListParagraph"/>
              <w:numPr>
                <w:ilvl w:val="0"/>
                <w:numId w:val="12"/>
              </w:numPr>
            </w:pPr>
            <w:r>
              <w:t>The SE4All Country Action Agenda (CAA) – which is a strategy-driven and holistic document acting as an umbrella for energy sector development at national level.</w:t>
            </w:r>
          </w:p>
          <w:p w:rsidR="002E5363" w:rsidRDefault="002E5363" w:rsidP="002E5363">
            <w:pPr>
              <w:pStyle w:val="ListParagraph"/>
              <w:numPr>
                <w:ilvl w:val="0"/>
                <w:numId w:val="12"/>
              </w:numPr>
            </w:pPr>
            <w:r>
              <w:lastRenderedPageBreak/>
              <w:t>The SE4All Investment Prospectus (IP) provides an approach to operationalize the CAA by identifying and developing a set of implementable programmes and projects, including their investment requirements, that can be presented to potential private and public investors.</w:t>
            </w:r>
          </w:p>
          <w:p w:rsidR="00B77C34" w:rsidRPr="000F0C74" w:rsidRDefault="002E5363" w:rsidP="002E5363">
            <w:r>
              <w:rPr>
                <w:rFonts w:ascii="Times New Roman" w:hAnsi="Times New Roman"/>
                <w:color w:val="000000"/>
              </w:rPr>
              <w:t xml:space="preserve">The </w:t>
            </w:r>
            <w:r>
              <w:rPr>
                <w:rFonts w:ascii="Times New Roman" w:hAnsi="Times New Roman"/>
              </w:rPr>
              <w:t xml:space="preserve">CAA </w:t>
            </w:r>
            <w:r>
              <w:rPr>
                <w:rFonts w:ascii="Times New Roman" w:hAnsi="Times New Roman"/>
              </w:rPr>
              <w:t xml:space="preserve">and IP </w:t>
            </w:r>
            <w:r>
              <w:rPr>
                <w:rFonts w:ascii="Times New Roman" w:hAnsi="Times New Roman"/>
              </w:rPr>
              <w:t xml:space="preserve">will then be presented to Cabinet for approval, </w:t>
            </w:r>
            <w:r>
              <w:rPr>
                <w:rFonts w:ascii="Times New Roman" w:hAnsi="Times New Roman"/>
              </w:rPr>
              <w:t xml:space="preserve">after which they will be </w:t>
            </w:r>
            <w:r>
              <w:rPr>
                <w:rFonts w:ascii="Times New Roman" w:hAnsi="Times New Roman"/>
              </w:rPr>
              <w:t>publicized to attract investors</w:t>
            </w:r>
            <w:r>
              <w:rPr>
                <w:rFonts w:ascii="Times New Roman" w:hAnsi="Times New Roman"/>
              </w:rPr>
              <w:t>.</w:t>
            </w:r>
          </w:p>
        </w:tc>
      </w:tr>
      <w:tr w:rsidR="00836C88" w:rsidRPr="008B0A98" w:rsidTr="00ED327A">
        <w:tc>
          <w:tcPr>
            <w:tcW w:w="10260" w:type="dxa"/>
            <w:shd w:val="pct12" w:color="auto" w:fill="auto"/>
          </w:tcPr>
          <w:p w:rsidR="00836C88" w:rsidRPr="008B0A98" w:rsidRDefault="000F0C74" w:rsidP="002C1E5F">
            <w:pPr>
              <w:spacing w:before="120" w:after="120"/>
              <w:rPr>
                <w:rFonts w:ascii="Arial" w:hAnsi="Arial" w:cs="Arial"/>
                <w:b/>
                <w:sz w:val="20"/>
                <w:szCs w:val="20"/>
              </w:rPr>
            </w:pPr>
            <w:r w:rsidRPr="008B0A98">
              <w:rPr>
                <w:rFonts w:ascii="Arial" w:hAnsi="Arial" w:cs="Arial"/>
                <w:b/>
                <w:sz w:val="20"/>
                <w:szCs w:val="20"/>
              </w:rPr>
              <w:lastRenderedPageBreak/>
              <w:t xml:space="preserve">V. </w:t>
            </w:r>
            <w:r w:rsidR="00836C88" w:rsidRPr="008B0A98">
              <w:rPr>
                <w:rFonts w:ascii="Arial" w:hAnsi="Arial" w:cs="Arial"/>
                <w:b/>
                <w:sz w:val="20"/>
                <w:szCs w:val="20"/>
              </w:rPr>
              <w:t xml:space="preserve">Innovative Initiatives: </w:t>
            </w:r>
            <w:r w:rsidR="00836C88" w:rsidRPr="008B0A98">
              <w:rPr>
                <w:rFonts w:ascii="Arial" w:hAnsi="Arial" w:cs="Arial"/>
                <w:b/>
                <w:i/>
                <w:sz w:val="20"/>
                <w:szCs w:val="20"/>
              </w:rPr>
              <w:t>(</w:t>
            </w:r>
            <w:r w:rsidR="005F2458" w:rsidRPr="008B0A98">
              <w:rPr>
                <w:rFonts w:ascii="Arial" w:hAnsi="Arial" w:cs="Arial"/>
                <w:b/>
                <w:i/>
                <w:sz w:val="20"/>
                <w:szCs w:val="20"/>
              </w:rPr>
              <w:t>Please describe</w:t>
            </w:r>
            <w:r w:rsidR="00836C88" w:rsidRPr="008B0A98">
              <w:rPr>
                <w:rFonts w:ascii="Arial" w:hAnsi="Arial" w:cs="Arial"/>
                <w:b/>
                <w:i/>
                <w:sz w:val="20"/>
                <w:szCs w:val="20"/>
              </w:rPr>
              <w:t xml:space="preserve"> new/pioneering actions (internal or external) taken during the year that contributed to the project being effective. Effectiveness here can be taken to mean improving practice or processes that aided positive project achievements)</w:t>
            </w:r>
            <w:r w:rsidR="00836C88" w:rsidRPr="008B0A98">
              <w:rPr>
                <w:rFonts w:ascii="Arial" w:hAnsi="Arial" w:cs="Arial"/>
                <w:b/>
                <w:sz w:val="20"/>
                <w:szCs w:val="20"/>
              </w:rPr>
              <w:t>.</w:t>
            </w:r>
          </w:p>
        </w:tc>
      </w:tr>
      <w:tr w:rsidR="00836C88" w:rsidRPr="008B0A98" w:rsidTr="00ED327A">
        <w:tc>
          <w:tcPr>
            <w:tcW w:w="10260" w:type="dxa"/>
          </w:tcPr>
          <w:p w:rsidR="00836C88" w:rsidRPr="008B0A98" w:rsidRDefault="00836C88" w:rsidP="0072370E">
            <w:pPr>
              <w:rPr>
                <w:sz w:val="20"/>
                <w:szCs w:val="20"/>
              </w:rPr>
            </w:pPr>
          </w:p>
          <w:p w:rsidR="00836C88" w:rsidRPr="008B0A98" w:rsidRDefault="00836C88" w:rsidP="0072370E">
            <w:pPr>
              <w:rPr>
                <w:sz w:val="20"/>
                <w:szCs w:val="20"/>
              </w:rPr>
            </w:pPr>
          </w:p>
          <w:p w:rsidR="00B77C34" w:rsidRPr="008B0A98" w:rsidRDefault="00B77C34" w:rsidP="0072370E">
            <w:pPr>
              <w:rPr>
                <w:sz w:val="20"/>
                <w:szCs w:val="20"/>
              </w:rPr>
            </w:pPr>
          </w:p>
        </w:tc>
      </w:tr>
      <w:tr w:rsidR="0094621E" w:rsidRPr="008B0A98" w:rsidTr="00ED327A">
        <w:tc>
          <w:tcPr>
            <w:tcW w:w="10260" w:type="dxa"/>
            <w:shd w:val="pct12" w:color="auto" w:fill="auto"/>
          </w:tcPr>
          <w:p w:rsidR="0094621E" w:rsidRPr="00D2391F" w:rsidRDefault="00D2391F" w:rsidP="008036FA">
            <w:pPr>
              <w:spacing w:before="120" w:after="120"/>
              <w:rPr>
                <w:rFonts w:ascii="Arial" w:hAnsi="Arial" w:cs="Arial"/>
                <w:b/>
                <w:i/>
                <w:sz w:val="20"/>
                <w:szCs w:val="20"/>
              </w:rPr>
            </w:pPr>
            <w:r w:rsidRPr="00D2391F">
              <w:rPr>
                <w:rFonts w:ascii="Arial" w:hAnsi="Arial" w:cs="Arial"/>
                <w:b/>
                <w:sz w:val="20"/>
                <w:szCs w:val="20"/>
              </w:rPr>
              <w:t>VI.</w:t>
            </w:r>
            <w:r>
              <w:rPr>
                <w:rFonts w:ascii="Arial" w:hAnsi="Arial" w:cs="Arial"/>
                <w:b/>
                <w:i/>
                <w:sz w:val="20"/>
                <w:szCs w:val="20"/>
              </w:rPr>
              <w:t xml:space="preserve"> </w:t>
            </w:r>
            <w:r w:rsidR="0094621E" w:rsidRPr="00D2391F">
              <w:rPr>
                <w:rFonts w:ascii="Arial" w:hAnsi="Arial" w:cs="Arial"/>
                <w:b/>
                <w:sz w:val="20"/>
                <w:szCs w:val="20"/>
              </w:rPr>
              <w:t xml:space="preserve">Project Risks and </w:t>
            </w:r>
            <w:r>
              <w:rPr>
                <w:rFonts w:ascii="Arial" w:hAnsi="Arial" w:cs="Arial"/>
                <w:b/>
                <w:sz w:val="20"/>
                <w:szCs w:val="20"/>
              </w:rPr>
              <w:t xml:space="preserve">Assumptions Update: </w:t>
            </w:r>
            <w:r w:rsidR="0094621E" w:rsidRPr="00D2391F">
              <w:rPr>
                <w:rFonts w:ascii="Arial" w:hAnsi="Arial" w:cs="Arial"/>
                <w:b/>
                <w:i/>
                <w:sz w:val="20"/>
                <w:szCs w:val="20"/>
              </w:rPr>
              <w:t xml:space="preserve"> </w:t>
            </w:r>
            <w:r w:rsidR="008F4735">
              <w:rPr>
                <w:rFonts w:ascii="Arial" w:hAnsi="Arial" w:cs="Arial"/>
                <w:b/>
                <w:i/>
                <w:sz w:val="20"/>
                <w:szCs w:val="20"/>
              </w:rPr>
              <w:t>Please state any risks and assumptions likely to impact project implementation</w:t>
            </w:r>
          </w:p>
        </w:tc>
      </w:tr>
      <w:tr w:rsidR="0094621E" w:rsidRPr="000F0C74" w:rsidTr="00ED327A">
        <w:tc>
          <w:tcPr>
            <w:tcW w:w="10260" w:type="dxa"/>
          </w:tcPr>
          <w:p w:rsidR="0094621E" w:rsidRPr="000F0C74" w:rsidRDefault="00001275" w:rsidP="0072370E">
            <w:r>
              <w:t xml:space="preserve">See attached risk log </w:t>
            </w:r>
            <w:r w:rsidR="00166569">
              <w:t>–</w:t>
            </w:r>
            <w:r>
              <w:t xml:space="preserve"> </w:t>
            </w:r>
            <w:r w:rsidR="00166569">
              <w:t>The first three are critical.</w:t>
            </w:r>
          </w:p>
          <w:p w:rsidR="0094621E" w:rsidRDefault="0094621E" w:rsidP="0072370E"/>
          <w:p w:rsidR="0094621E" w:rsidRPr="000F0C74" w:rsidRDefault="0094621E" w:rsidP="0072370E"/>
        </w:tc>
      </w:tr>
      <w:tr w:rsidR="00D2391F" w:rsidRPr="000F0C74" w:rsidTr="00ED327A">
        <w:tc>
          <w:tcPr>
            <w:tcW w:w="10260" w:type="dxa"/>
            <w:shd w:val="clear" w:color="auto" w:fill="D9D9D9" w:themeFill="background1" w:themeFillShade="D9"/>
          </w:tcPr>
          <w:p w:rsidR="00D2391F" w:rsidRPr="00D2391F" w:rsidRDefault="004A2E6D" w:rsidP="004A2E6D">
            <w:pPr>
              <w:spacing w:before="120" w:after="120"/>
              <w:rPr>
                <w:rFonts w:ascii="Arial" w:hAnsi="Arial" w:cs="Arial"/>
                <w:b/>
                <w:i/>
                <w:sz w:val="20"/>
                <w:szCs w:val="20"/>
              </w:rPr>
            </w:pPr>
            <w:r>
              <w:rPr>
                <w:rFonts w:ascii="Arial" w:hAnsi="Arial" w:cs="Arial"/>
                <w:b/>
                <w:sz w:val="20"/>
                <w:szCs w:val="20"/>
              </w:rPr>
              <w:t>VII</w:t>
            </w:r>
            <w:r w:rsidR="00D2391F" w:rsidRPr="00D2391F">
              <w:rPr>
                <w:rFonts w:ascii="Arial" w:hAnsi="Arial" w:cs="Arial"/>
                <w:b/>
                <w:sz w:val="20"/>
                <w:szCs w:val="20"/>
              </w:rPr>
              <w:t>.</w:t>
            </w:r>
            <w:r w:rsidR="00D2391F">
              <w:rPr>
                <w:rFonts w:ascii="Arial" w:hAnsi="Arial" w:cs="Arial"/>
                <w:b/>
                <w:i/>
                <w:sz w:val="20"/>
                <w:szCs w:val="20"/>
              </w:rPr>
              <w:t xml:space="preserve"> </w:t>
            </w:r>
            <w:r>
              <w:rPr>
                <w:rFonts w:ascii="Arial" w:hAnsi="Arial" w:cs="Arial"/>
                <w:b/>
                <w:sz w:val="20"/>
                <w:szCs w:val="20"/>
              </w:rPr>
              <w:t>Financials</w:t>
            </w:r>
            <w:r w:rsidR="00D2391F">
              <w:rPr>
                <w:rFonts w:ascii="Arial" w:hAnsi="Arial" w:cs="Arial"/>
                <w:b/>
                <w:sz w:val="20"/>
                <w:szCs w:val="20"/>
              </w:rPr>
              <w:t xml:space="preserve">: </w:t>
            </w:r>
            <w:r w:rsidR="00696D3D">
              <w:rPr>
                <w:rFonts w:ascii="Arial" w:hAnsi="Arial" w:cs="Arial"/>
                <w:b/>
                <w:i/>
                <w:sz w:val="20"/>
                <w:szCs w:val="20"/>
              </w:rPr>
              <w:t>(</w:t>
            </w:r>
            <w:r w:rsidR="00696D3D" w:rsidRPr="00D2391F">
              <w:rPr>
                <w:rFonts w:ascii="Arial" w:hAnsi="Arial" w:cs="Arial"/>
                <w:b/>
                <w:i/>
                <w:sz w:val="20"/>
                <w:szCs w:val="20"/>
              </w:rPr>
              <w:t>Please</w:t>
            </w:r>
            <w:r>
              <w:rPr>
                <w:rFonts w:ascii="Arial" w:hAnsi="Arial" w:cs="Arial"/>
                <w:b/>
                <w:i/>
                <w:sz w:val="20"/>
                <w:szCs w:val="20"/>
              </w:rPr>
              <w:t xml:space="preserve"> provide a summary of budgeted </w:t>
            </w:r>
            <w:r w:rsidR="00597B9D">
              <w:rPr>
                <w:rFonts w:ascii="Arial" w:hAnsi="Arial" w:cs="Arial"/>
                <w:b/>
                <w:i/>
                <w:sz w:val="20"/>
                <w:szCs w:val="20"/>
              </w:rPr>
              <w:t>vs.</w:t>
            </w:r>
            <w:r>
              <w:rPr>
                <w:rFonts w:ascii="Arial" w:hAnsi="Arial" w:cs="Arial"/>
                <w:b/>
                <w:i/>
                <w:sz w:val="20"/>
                <w:szCs w:val="20"/>
              </w:rPr>
              <w:t xml:space="preserve"> actual expenditure for the quarter and briefly explain reasons for variance if any)</w:t>
            </w:r>
          </w:p>
        </w:tc>
      </w:tr>
      <w:tr w:rsidR="004A2E6D" w:rsidRPr="000F0C74" w:rsidTr="00ED327A">
        <w:tc>
          <w:tcPr>
            <w:tcW w:w="10260" w:type="dxa"/>
            <w:shd w:val="clear" w:color="auto" w:fill="auto"/>
          </w:tcPr>
          <w:p w:rsidR="00B0461E" w:rsidRPr="00D2391F" w:rsidRDefault="00372F9A" w:rsidP="00AB3012">
            <w:pPr>
              <w:spacing w:before="120" w:after="120"/>
              <w:rPr>
                <w:rFonts w:ascii="Arial" w:hAnsi="Arial" w:cs="Arial"/>
                <w:b/>
                <w:sz w:val="20"/>
                <w:szCs w:val="20"/>
              </w:rPr>
            </w:pPr>
            <w:r>
              <w:rPr>
                <w:rFonts w:ascii="Arial" w:hAnsi="Arial" w:cs="Arial"/>
                <w:b/>
                <w:sz w:val="20"/>
                <w:szCs w:val="20"/>
              </w:rPr>
              <w:t>See table 1</w:t>
            </w:r>
            <w:r w:rsidR="00166569">
              <w:rPr>
                <w:rFonts w:ascii="Arial" w:hAnsi="Arial" w:cs="Arial"/>
                <w:b/>
                <w:sz w:val="20"/>
                <w:szCs w:val="20"/>
              </w:rPr>
              <w:t xml:space="preserve">, 2 and 3 </w:t>
            </w:r>
            <w:r>
              <w:rPr>
                <w:rFonts w:ascii="Arial" w:hAnsi="Arial" w:cs="Arial"/>
                <w:b/>
                <w:sz w:val="20"/>
                <w:szCs w:val="20"/>
              </w:rPr>
              <w:t>below.</w:t>
            </w:r>
          </w:p>
        </w:tc>
      </w:tr>
    </w:tbl>
    <w:p w:rsidR="00372F9A" w:rsidRDefault="00372F9A" w:rsidP="00D44F6A">
      <w:pPr>
        <w:rPr>
          <w:b/>
          <w:bCs/>
          <w:sz w:val="23"/>
          <w:szCs w:val="23"/>
        </w:rPr>
      </w:pPr>
    </w:p>
    <w:p w:rsidR="00D55B2B" w:rsidRPr="00D55B2B" w:rsidRDefault="00D55B2B" w:rsidP="00D44F6A">
      <w:pPr>
        <w:rPr>
          <w:b/>
          <w:bCs/>
          <w:sz w:val="24"/>
          <w:szCs w:val="24"/>
        </w:rPr>
      </w:pPr>
      <w:r w:rsidRPr="00372F9A">
        <w:rPr>
          <w:b/>
          <w:bCs/>
          <w:sz w:val="24"/>
          <w:szCs w:val="24"/>
        </w:rPr>
        <w:t>FINANCIAL REPORT</w:t>
      </w:r>
    </w:p>
    <w:p w:rsidR="00814B01" w:rsidRPr="00D97B18" w:rsidRDefault="004D21CF" w:rsidP="00814B01">
      <w:pPr>
        <w:rPr>
          <w:rFonts w:ascii="Rockwell" w:hAnsi="Rockwell"/>
          <w:b/>
          <w:sz w:val="24"/>
          <w:szCs w:val="24"/>
        </w:rPr>
      </w:pPr>
      <w:r>
        <w:rPr>
          <w:rFonts w:ascii="Rockwell" w:hAnsi="Rockwell"/>
          <w:b/>
          <w:sz w:val="24"/>
          <w:szCs w:val="24"/>
        </w:rPr>
        <w:t>Table 1</w:t>
      </w:r>
      <w:r w:rsidR="00814B01">
        <w:rPr>
          <w:rFonts w:ascii="Rockwell" w:hAnsi="Rockwell"/>
          <w:b/>
          <w:sz w:val="24"/>
          <w:szCs w:val="24"/>
        </w:rPr>
        <w:t xml:space="preserve">. Annual </w:t>
      </w:r>
      <w:r w:rsidR="00814B01" w:rsidRPr="00D97B18">
        <w:rPr>
          <w:rFonts w:ascii="Rockwell" w:hAnsi="Rockwell"/>
          <w:b/>
          <w:sz w:val="24"/>
          <w:szCs w:val="24"/>
        </w:rPr>
        <w:t>E</w:t>
      </w:r>
      <w:r w:rsidR="00814B01">
        <w:rPr>
          <w:rFonts w:ascii="Rockwell" w:hAnsi="Rockwell"/>
          <w:b/>
          <w:sz w:val="24"/>
          <w:szCs w:val="24"/>
        </w:rPr>
        <w:t xml:space="preserve">xpenditure </w:t>
      </w:r>
      <w:r w:rsidR="00814B01" w:rsidRPr="00D97B18">
        <w:rPr>
          <w:rFonts w:ascii="Rockwell" w:hAnsi="Rockwell"/>
          <w:b/>
          <w:sz w:val="24"/>
          <w:szCs w:val="24"/>
        </w:rPr>
        <w:t>R</w:t>
      </w:r>
      <w:r w:rsidR="00814B01">
        <w:rPr>
          <w:rFonts w:ascii="Rockwell" w:hAnsi="Rockwell"/>
          <w:b/>
          <w:sz w:val="24"/>
          <w:szCs w:val="24"/>
        </w:rPr>
        <w:t>eport</w:t>
      </w:r>
      <w:r w:rsidR="00814B01" w:rsidRPr="00D97B18">
        <w:rPr>
          <w:rFonts w:ascii="Rockwell" w:hAnsi="Rockwell"/>
          <w:b/>
          <w:sz w:val="24"/>
          <w:szCs w:val="24"/>
        </w:rPr>
        <w:t xml:space="preserve"> –2018</w:t>
      </w:r>
    </w:p>
    <w:tbl>
      <w:tblPr>
        <w:tblW w:w="0" w:type="auto"/>
        <w:tblCellMar>
          <w:left w:w="0" w:type="dxa"/>
          <w:right w:w="0" w:type="dxa"/>
        </w:tblCellMar>
        <w:tblLook w:val="04A0" w:firstRow="1" w:lastRow="0" w:firstColumn="1" w:lastColumn="0" w:noHBand="0" w:noVBand="1"/>
      </w:tblPr>
      <w:tblGrid>
        <w:gridCol w:w="2748"/>
        <w:gridCol w:w="2166"/>
        <w:gridCol w:w="1662"/>
        <w:gridCol w:w="1872"/>
        <w:gridCol w:w="1549"/>
      </w:tblGrid>
      <w:tr w:rsidR="00814B01" w:rsidTr="00A54E92">
        <w:tc>
          <w:tcPr>
            <w:tcW w:w="2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4B01" w:rsidRDefault="00814B01" w:rsidP="00A54E92">
            <w:pPr>
              <w:spacing w:after="0" w:line="240" w:lineRule="auto"/>
              <w:rPr>
                <w:rFonts w:ascii="Rockwell" w:hAnsi="Rockwell"/>
                <w:b/>
                <w:bCs/>
                <w:sz w:val="24"/>
                <w:szCs w:val="24"/>
              </w:rPr>
            </w:pPr>
            <w:r>
              <w:rPr>
                <w:rFonts w:ascii="Rockwell" w:hAnsi="Rockwell"/>
                <w:b/>
                <w:bCs/>
                <w:sz w:val="24"/>
                <w:szCs w:val="24"/>
              </w:rPr>
              <w:t>OUTCOME</w:t>
            </w:r>
          </w:p>
        </w:tc>
        <w:tc>
          <w:tcPr>
            <w:tcW w:w="21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4B01" w:rsidRDefault="00814B01" w:rsidP="00A54E92">
            <w:pPr>
              <w:spacing w:after="0" w:line="240" w:lineRule="auto"/>
              <w:rPr>
                <w:rFonts w:ascii="Rockwell" w:hAnsi="Rockwell"/>
                <w:b/>
                <w:bCs/>
                <w:sz w:val="24"/>
                <w:szCs w:val="24"/>
              </w:rPr>
            </w:pPr>
            <w:r>
              <w:rPr>
                <w:rFonts w:ascii="Rockwell" w:hAnsi="Rockwell"/>
                <w:b/>
                <w:bCs/>
                <w:sz w:val="24"/>
                <w:szCs w:val="24"/>
              </w:rPr>
              <w:t>Approved Budget</w:t>
            </w:r>
          </w:p>
        </w:tc>
        <w:tc>
          <w:tcPr>
            <w:tcW w:w="16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4B01" w:rsidRDefault="00814B01" w:rsidP="00A54E92">
            <w:pPr>
              <w:spacing w:after="0" w:line="240" w:lineRule="auto"/>
              <w:rPr>
                <w:rFonts w:ascii="Rockwell" w:hAnsi="Rockwell"/>
                <w:b/>
                <w:bCs/>
                <w:sz w:val="24"/>
                <w:szCs w:val="24"/>
              </w:rPr>
            </w:pPr>
            <w:r>
              <w:rPr>
                <w:rFonts w:ascii="Rockwell" w:hAnsi="Rockwell"/>
                <w:b/>
                <w:bCs/>
                <w:sz w:val="24"/>
                <w:szCs w:val="24"/>
              </w:rPr>
              <w:t>Expenditure</w:t>
            </w:r>
          </w:p>
        </w:tc>
        <w:tc>
          <w:tcPr>
            <w:tcW w:w="18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4B01" w:rsidRDefault="00814B01" w:rsidP="00A54E92">
            <w:pPr>
              <w:spacing w:after="0" w:line="240" w:lineRule="auto"/>
              <w:rPr>
                <w:rFonts w:ascii="Rockwell" w:hAnsi="Rockwell"/>
                <w:b/>
                <w:bCs/>
                <w:sz w:val="24"/>
                <w:szCs w:val="24"/>
              </w:rPr>
            </w:pPr>
            <w:r>
              <w:rPr>
                <w:rFonts w:ascii="Rockwell" w:hAnsi="Rockwell"/>
                <w:b/>
                <w:bCs/>
                <w:sz w:val="24"/>
                <w:szCs w:val="24"/>
              </w:rPr>
              <w:t>Budget Balance</w:t>
            </w:r>
          </w:p>
        </w:tc>
        <w:tc>
          <w:tcPr>
            <w:tcW w:w="15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4B01" w:rsidRDefault="00814B01" w:rsidP="00A54E92">
            <w:pPr>
              <w:spacing w:after="0" w:line="240" w:lineRule="auto"/>
              <w:rPr>
                <w:rFonts w:ascii="Rockwell" w:hAnsi="Rockwell"/>
                <w:b/>
                <w:bCs/>
                <w:sz w:val="24"/>
                <w:szCs w:val="24"/>
              </w:rPr>
            </w:pPr>
            <w:r>
              <w:rPr>
                <w:rFonts w:ascii="Rockwell" w:hAnsi="Rockwell"/>
                <w:b/>
                <w:bCs/>
                <w:sz w:val="24"/>
                <w:szCs w:val="24"/>
              </w:rPr>
              <w:t>% Delivery</w:t>
            </w:r>
          </w:p>
        </w:tc>
      </w:tr>
      <w:tr w:rsidR="00814B01" w:rsidTr="00A54E92">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B01" w:rsidRPr="00A91A32" w:rsidRDefault="00814B01" w:rsidP="00A54E92">
            <w:pPr>
              <w:spacing w:after="0" w:line="240" w:lineRule="auto"/>
              <w:rPr>
                <w:rFonts w:ascii="Times New Roman" w:hAnsi="Times New Roman" w:cs="Times New Roman"/>
                <w:sz w:val="24"/>
                <w:szCs w:val="24"/>
              </w:rPr>
            </w:pPr>
            <w:r w:rsidRPr="00A91A32">
              <w:rPr>
                <w:rFonts w:ascii="Times New Roman" w:hAnsi="Times New Roman" w:cs="Times New Roman"/>
                <w:sz w:val="24"/>
                <w:szCs w:val="24"/>
              </w:rPr>
              <w:t xml:space="preserve">Outcome 1          </w:t>
            </w:r>
          </w:p>
          <w:p w:rsidR="00814B01" w:rsidRPr="00A91A32" w:rsidRDefault="00814B01" w:rsidP="00A54E92">
            <w:pPr>
              <w:spacing w:after="0" w:line="240" w:lineRule="auto"/>
              <w:rPr>
                <w:rFonts w:ascii="Times New Roman" w:hAnsi="Times New Roman" w:cs="Times New Roman"/>
                <w:sz w:val="24"/>
                <w:szCs w:val="24"/>
              </w:rPr>
            </w:pPr>
            <w:r w:rsidRPr="00A91A32">
              <w:rPr>
                <w:rFonts w:ascii="Times New Roman" w:hAnsi="Times New Roman" w:cs="Times New Roman"/>
                <w:sz w:val="24"/>
                <w:szCs w:val="24"/>
              </w:rPr>
              <w:t>Policies and Strategies</w:t>
            </w:r>
          </w:p>
        </w:tc>
        <w:tc>
          <w:tcPr>
            <w:tcW w:w="2169"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237,920.00</w:t>
            </w:r>
          </w:p>
        </w:tc>
        <w:tc>
          <w:tcPr>
            <w:tcW w:w="1662"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193,556.00</w:t>
            </w:r>
          </w:p>
        </w:tc>
        <w:tc>
          <w:tcPr>
            <w:tcW w:w="1874"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44,354.00</w:t>
            </w:r>
          </w:p>
        </w:tc>
        <w:tc>
          <w:tcPr>
            <w:tcW w:w="1550"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81%</w:t>
            </w:r>
          </w:p>
          <w:p w:rsidR="00814B01" w:rsidRDefault="00814B01" w:rsidP="00A54E92">
            <w:pPr>
              <w:spacing w:after="0" w:line="240" w:lineRule="auto"/>
              <w:rPr>
                <w:rFonts w:ascii="Rockwell" w:hAnsi="Rockwell"/>
                <w:sz w:val="24"/>
                <w:szCs w:val="24"/>
              </w:rPr>
            </w:pPr>
          </w:p>
          <w:p w:rsidR="00814B01" w:rsidRDefault="00814B01" w:rsidP="00A54E92">
            <w:pPr>
              <w:spacing w:after="0" w:line="240" w:lineRule="auto"/>
              <w:rPr>
                <w:rFonts w:ascii="Rockwell" w:hAnsi="Rockwell"/>
                <w:sz w:val="24"/>
                <w:szCs w:val="24"/>
              </w:rPr>
            </w:pPr>
            <w:r>
              <w:rPr>
                <w:rFonts w:ascii="Rockwell" w:hAnsi="Rockwell"/>
                <w:sz w:val="24"/>
                <w:szCs w:val="24"/>
              </w:rPr>
              <w:t>114%</w:t>
            </w:r>
          </w:p>
          <w:p w:rsidR="00814B01" w:rsidRDefault="00814B01" w:rsidP="00A54E92">
            <w:pPr>
              <w:spacing w:after="0" w:line="240" w:lineRule="auto"/>
              <w:rPr>
                <w:rFonts w:ascii="Rockwell" w:hAnsi="Rockwell"/>
                <w:sz w:val="24"/>
                <w:szCs w:val="24"/>
              </w:rPr>
            </w:pPr>
          </w:p>
          <w:p w:rsidR="00814B01" w:rsidRDefault="00814B01" w:rsidP="00A54E92">
            <w:pPr>
              <w:spacing w:after="0" w:line="240" w:lineRule="auto"/>
              <w:rPr>
                <w:rFonts w:ascii="Rockwell" w:hAnsi="Rockwell"/>
                <w:sz w:val="24"/>
                <w:szCs w:val="24"/>
              </w:rPr>
            </w:pPr>
          </w:p>
          <w:p w:rsidR="00814B01" w:rsidRDefault="00814B01" w:rsidP="00A54E92">
            <w:pPr>
              <w:spacing w:after="0" w:line="240" w:lineRule="auto"/>
              <w:rPr>
                <w:rFonts w:ascii="Rockwell" w:hAnsi="Rockwell"/>
                <w:sz w:val="24"/>
                <w:szCs w:val="24"/>
              </w:rPr>
            </w:pPr>
          </w:p>
          <w:p w:rsidR="00814B01" w:rsidRDefault="00814B01" w:rsidP="00A54E92">
            <w:pPr>
              <w:spacing w:after="0" w:line="240" w:lineRule="auto"/>
              <w:rPr>
                <w:rFonts w:ascii="Rockwell" w:hAnsi="Rockwell"/>
                <w:sz w:val="24"/>
                <w:szCs w:val="24"/>
              </w:rPr>
            </w:pPr>
            <w:r>
              <w:rPr>
                <w:rFonts w:ascii="Rockwell" w:hAnsi="Rockwell"/>
                <w:sz w:val="24"/>
                <w:szCs w:val="24"/>
              </w:rPr>
              <w:t>21%</w:t>
            </w:r>
          </w:p>
          <w:p w:rsidR="00814B01" w:rsidRDefault="00814B01" w:rsidP="00A54E92">
            <w:pPr>
              <w:spacing w:after="0" w:line="240" w:lineRule="auto"/>
              <w:rPr>
                <w:rFonts w:ascii="Rockwell" w:hAnsi="Rockwell"/>
                <w:sz w:val="24"/>
                <w:szCs w:val="24"/>
              </w:rPr>
            </w:pPr>
          </w:p>
          <w:p w:rsidR="00814B01" w:rsidRDefault="00814B01" w:rsidP="00A54E92">
            <w:pPr>
              <w:spacing w:after="0" w:line="240" w:lineRule="auto"/>
              <w:rPr>
                <w:rFonts w:ascii="Rockwell" w:hAnsi="Rockwell"/>
                <w:sz w:val="24"/>
                <w:szCs w:val="24"/>
              </w:rPr>
            </w:pPr>
            <w:r>
              <w:rPr>
                <w:rFonts w:ascii="Rockwell" w:hAnsi="Rockwell"/>
                <w:sz w:val="24"/>
                <w:szCs w:val="24"/>
              </w:rPr>
              <w:t>38%</w:t>
            </w:r>
          </w:p>
          <w:p w:rsidR="00814B01" w:rsidRDefault="00814B01" w:rsidP="00A54E92">
            <w:pPr>
              <w:spacing w:after="0" w:line="240" w:lineRule="auto"/>
              <w:rPr>
                <w:rFonts w:ascii="Rockwell" w:hAnsi="Rockwell"/>
                <w:sz w:val="24"/>
                <w:szCs w:val="24"/>
              </w:rPr>
            </w:pPr>
          </w:p>
          <w:p w:rsidR="00814B01" w:rsidRDefault="00814B01" w:rsidP="00A54E92">
            <w:pPr>
              <w:spacing w:after="0" w:line="240" w:lineRule="auto"/>
              <w:rPr>
                <w:rFonts w:ascii="Rockwell" w:hAnsi="Rockwell"/>
                <w:sz w:val="24"/>
                <w:szCs w:val="24"/>
              </w:rPr>
            </w:pPr>
            <w:r>
              <w:rPr>
                <w:rFonts w:ascii="Rockwell" w:hAnsi="Rockwell"/>
                <w:sz w:val="24"/>
                <w:szCs w:val="24"/>
              </w:rPr>
              <w:t>143%</w:t>
            </w:r>
          </w:p>
        </w:tc>
      </w:tr>
      <w:tr w:rsidR="00814B01" w:rsidTr="00A54E92">
        <w:trPr>
          <w:trHeight w:val="899"/>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B01" w:rsidRPr="00A91A32" w:rsidRDefault="00814B01" w:rsidP="00A54E92">
            <w:pPr>
              <w:spacing w:after="0" w:line="240" w:lineRule="auto"/>
              <w:rPr>
                <w:rFonts w:ascii="Times New Roman" w:hAnsi="Times New Roman" w:cs="Times New Roman"/>
                <w:sz w:val="24"/>
                <w:szCs w:val="24"/>
              </w:rPr>
            </w:pPr>
            <w:r w:rsidRPr="00A91A32">
              <w:rPr>
                <w:rFonts w:ascii="Times New Roman" w:hAnsi="Times New Roman" w:cs="Times New Roman"/>
                <w:sz w:val="24"/>
                <w:szCs w:val="24"/>
              </w:rPr>
              <w:t>Outcome 2</w:t>
            </w:r>
          </w:p>
          <w:p w:rsidR="00814B01" w:rsidRPr="00A91A32" w:rsidRDefault="00814B01" w:rsidP="00A54E92">
            <w:pPr>
              <w:spacing w:after="0" w:line="240" w:lineRule="auto"/>
              <w:rPr>
                <w:rFonts w:ascii="Times New Roman" w:hAnsi="Times New Roman" w:cs="Times New Roman"/>
                <w:sz w:val="24"/>
                <w:szCs w:val="24"/>
              </w:rPr>
            </w:pPr>
            <w:r w:rsidRPr="00A91A32">
              <w:rPr>
                <w:rFonts w:ascii="Times New Roman" w:hAnsi="Times New Roman" w:cs="Times New Roman"/>
                <w:sz w:val="24"/>
                <w:szCs w:val="24"/>
              </w:rPr>
              <w:t>Database &amp; Capacity Building</w:t>
            </w:r>
          </w:p>
        </w:tc>
        <w:tc>
          <w:tcPr>
            <w:tcW w:w="2169"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 xml:space="preserve"> 45,308.00</w:t>
            </w:r>
          </w:p>
        </w:tc>
        <w:tc>
          <w:tcPr>
            <w:tcW w:w="1662"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51,499.00</w:t>
            </w:r>
          </w:p>
        </w:tc>
        <w:tc>
          <w:tcPr>
            <w:tcW w:w="1874"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(6,191.00)</w:t>
            </w:r>
          </w:p>
        </w:tc>
        <w:tc>
          <w:tcPr>
            <w:tcW w:w="0" w:type="auto"/>
            <w:vMerge/>
            <w:tcBorders>
              <w:top w:val="nil"/>
              <w:left w:val="nil"/>
              <w:bottom w:val="single" w:sz="8" w:space="0" w:color="000000"/>
              <w:right w:val="single" w:sz="8" w:space="0" w:color="000000"/>
            </w:tcBorders>
            <w:vAlign w:val="center"/>
            <w:hideMark/>
          </w:tcPr>
          <w:p w:rsidR="00814B01" w:rsidRDefault="00814B01" w:rsidP="00A54E92">
            <w:pPr>
              <w:spacing w:after="0" w:line="240" w:lineRule="auto"/>
              <w:rPr>
                <w:rFonts w:ascii="Rockwell" w:hAnsi="Rockwell"/>
                <w:sz w:val="24"/>
                <w:szCs w:val="24"/>
              </w:rPr>
            </w:pPr>
          </w:p>
        </w:tc>
      </w:tr>
      <w:tr w:rsidR="00814B01" w:rsidTr="00A54E92">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B01" w:rsidRPr="00A91A32" w:rsidRDefault="00814B01" w:rsidP="00A54E92">
            <w:pPr>
              <w:spacing w:after="0" w:line="240" w:lineRule="auto"/>
              <w:rPr>
                <w:rFonts w:ascii="Times New Roman" w:hAnsi="Times New Roman" w:cs="Times New Roman"/>
                <w:sz w:val="24"/>
                <w:szCs w:val="24"/>
              </w:rPr>
            </w:pPr>
            <w:r w:rsidRPr="00A91A32">
              <w:rPr>
                <w:rFonts w:ascii="Times New Roman" w:hAnsi="Times New Roman" w:cs="Times New Roman"/>
                <w:sz w:val="24"/>
                <w:szCs w:val="24"/>
              </w:rPr>
              <w:t>Outcome3</w:t>
            </w:r>
          </w:p>
          <w:p w:rsidR="00814B01" w:rsidRPr="00A91A32" w:rsidRDefault="00814B01" w:rsidP="00A54E92">
            <w:pPr>
              <w:spacing w:after="0" w:line="240" w:lineRule="auto"/>
              <w:rPr>
                <w:rFonts w:ascii="Times New Roman" w:hAnsi="Times New Roman" w:cs="Times New Roman"/>
                <w:sz w:val="24"/>
                <w:szCs w:val="24"/>
              </w:rPr>
            </w:pPr>
            <w:r w:rsidRPr="00A91A32">
              <w:rPr>
                <w:rFonts w:ascii="Times New Roman" w:hAnsi="Times New Roman" w:cs="Times New Roman"/>
                <w:sz w:val="24"/>
                <w:szCs w:val="24"/>
              </w:rPr>
              <w:t>Village Energisation</w:t>
            </w:r>
          </w:p>
        </w:tc>
        <w:tc>
          <w:tcPr>
            <w:tcW w:w="2169"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488,382.00</w:t>
            </w:r>
          </w:p>
        </w:tc>
        <w:tc>
          <w:tcPr>
            <w:tcW w:w="1662"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100,754.00</w:t>
            </w:r>
          </w:p>
        </w:tc>
        <w:tc>
          <w:tcPr>
            <w:tcW w:w="1874"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387,628.00</w:t>
            </w:r>
          </w:p>
        </w:tc>
        <w:tc>
          <w:tcPr>
            <w:tcW w:w="0" w:type="auto"/>
            <w:vMerge/>
            <w:tcBorders>
              <w:top w:val="nil"/>
              <w:left w:val="nil"/>
              <w:bottom w:val="single" w:sz="8" w:space="0" w:color="000000"/>
              <w:right w:val="single" w:sz="8" w:space="0" w:color="000000"/>
            </w:tcBorders>
            <w:vAlign w:val="center"/>
            <w:hideMark/>
          </w:tcPr>
          <w:p w:rsidR="00814B01" w:rsidRDefault="00814B01" w:rsidP="00A54E92">
            <w:pPr>
              <w:spacing w:after="0" w:line="240" w:lineRule="auto"/>
              <w:rPr>
                <w:rFonts w:ascii="Rockwell" w:hAnsi="Rockwell"/>
                <w:sz w:val="24"/>
                <w:szCs w:val="24"/>
              </w:rPr>
            </w:pPr>
          </w:p>
        </w:tc>
      </w:tr>
      <w:tr w:rsidR="00814B01" w:rsidTr="00A54E92">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B01" w:rsidRPr="00A91A32" w:rsidRDefault="00814B01" w:rsidP="00A54E92">
            <w:pPr>
              <w:spacing w:after="0" w:line="240" w:lineRule="auto"/>
              <w:rPr>
                <w:rFonts w:ascii="Times New Roman" w:hAnsi="Times New Roman" w:cs="Times New Roman"/>
                <w:sz w:val="24"/>
                <w:szCs w:val="24"/>
              </w:rPr>
            </w:pPr>
            <w:r w:rsidRPr="00A91A32">
              <w:rPr>
                <w:rFonts w:ascii="Times New Roman" w:hAnsi="Times New Roman" w:cs="Times New Roman"/>
                <w:sz w:val="24"/>
                <w:szCs w:val="24"/>
              </w:rPr>
              <w:t>Outcome 4</w:t>
            </w:r>
          </w:p>
          <w:p w:rsidR="00814B01" w:rsidRPr="00A91A32" w:rsidRDefault="00814B01" w:rsidP="00A54E92">
            <w:pPr>
              <w:spacing w:after="0" w:line="240" w:lineRule="auto"/>
              <w:rPr>
                <w:rFonts w:ascii="Times New Roman" w:hAnsi="Times New Roman" w:cs="Times New Roman"/>
                <w:sz w:val="24"/>
                <w:szCs w:val="24"/>
              </w:rPr>
            </w:pPr>
            <w:r w:rsidRPr="00A91A32">
              <w:rPr>
                <w:rFonts w:ascii="Times New Roman" w:hAnsi="Times New Roman" w:cs="Times New Roman"/>
                <w:sz w:val="24"/>
                <w:szCs w:val="24"/>
              </w:rPr>
              <w:t>Outreach Programme</w:t>
            </w:r>
          </w:p>
        </w:tc>
        <w:tc>
          <w:tcPr>
            <w:tcW w:w="2169"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123,300.00</w:t>
            </w:r>
          </w:p>
        </w:tc>
        <w:tc>
          <w:tcPr>
            <w:tcW w:w="1662"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46,637.00</w:t>
            </w:r>
          </w:p>
        </w:tc>
        <w:tc>
          <w:tcPr>
            <w:tcW w:w="1874"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76,662.00</w:t>
            </w:r>
          </w:p>
        </w:tc>
        <w:tc>
          <w:tcPr>
            <w:tcW w:w="0" w:type="auto"/>
            <w:vMerge/>
            <w:tcBorders>
              <w:top w:val="nil"/>
              <w:left w:val="nil"/>
              <w:bottom w:val="single" w:sz="8" w:space="0" w:color="000000"/>
              <w:right w:val="single" w:sz="8" w:space="0" w:color="000000"/>
            </w:tcBorders>
            <w:vAlign w:val="center"/>
            <w:hideMark/>
          </w:tcPr>
          <w:p w:rsidR="00814B01" w:rsidRDefault="00814B01" w:rsidP="00A54E92">
            <w:pPr>
              <w:spacing w:after="0" w:line="240" w:lineRule="auto"/>
              <w:rPr>
                <w:rFonts w:ascii="Rockwell" w:hAnsi="Rockwell"/>
                <w:sz w:val="24"/>
                <w:szCs w:val="24"/>
              </w:rPr>
            </w:pPr>
          </w:p>
        </w:tc>
      </w:tr>
      <w:tr w:rsidR="00814B01" w:rsidTr="00A54E92">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B01" w:rsidRPr="00A91A32" w:rsidRDefault="00814B01" w:rsidP="00A54E92">
            <w:pPr>
              <w:spacing w:after="0" w:line="240" w:lineRule="auto"/>
              <w:rPr>
                <w:rFonts w:ascii="Times New Roman" w:hAnsi="Times New Roman" w:cs="Times New Roman"/>
                <w:sz w:val="24"/>
                <w:szCs w:val="24"/>
              </w:rPr>
            </w:pPr>
            <w:r w:rsidRPr="00A91A32">
              <w:rPr>
                <w:rFonts w:ascii="Times New Roman" w:hAnsi="Times New Roman" w:cs="Times New Roman"/>
                <w:sz w:val="24"/>
                <w:szCs w:val="24"/>
              </w:rPr>
              <w:t>Outcome 5</w:t>
            </w:r>
          </w:p>
          <w:p w:rsidR="00814B01" w:rsidRPr="00A91A32" w:rsidRDefault="00814B01" w:rsidP="00A54E92">
            <w:pPr>
              <w:spacing w:after="0" w:line="240" w:lineRule="auto"/>
              <w:rPr>
                <w:rFonts w:ascii="Times New Roman" w:hAnsi="Times New Roman" w:cs="Times New Roman"/>
                <w:sz w:val="24"/>
                <w:szCs w:val="24"/>
              </w:rPr>
            </w:pPr>
            <w:r w:rsidRPr="00A91A32">
              <w:rPr>
                <w:rFonts w:ascii="Times New Roman" w:hAnsi="Times New Roman" w:cs="Times New Roman"/>
                <w:sz w:val="24"/>
                <w:szCs w:val="24"/>
              </w:rPr>
              <w:t>Programme Management</w:t>
            </w:r>
          </w:p>
        </w:tc>
        <w:tc>
          <w:tcPr>
            <w:tcW w:w="2169"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45,000.00</w:t>
            </w:r>
          </w:p>
        </w:tc>
        <w:tc>
          <w:tcPr>
            <w:tcW w:w="1662"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64,217.00</w:t>
            </w:r>
          </w:p>
        </w:tc>
        <w:tc>
          <w:tcPr>
            <w:tcW w:w="1874"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sz w:val="24"/>
                <w:szCs w:val="24"/>
              </w:rPr>
            </w:pPr>
            <w:r>
              <w:rPr>
                <w:rFonts w:ascii="Rockwell" w:hAnsi="Rockwell"/>
                <w:sz w:val="24"/>
                <w:szCs w:val="24"/>
              </w:rPr>
              <w:t>(19,217)</w:t>
            </w:r>
          </w:p>
        </w:tc>
        <w:tc>
          <w:tcPr>
            <w:tcW w:w="0" w:type="auto"/>
            <w:vMerge/>
            <w:tcBorders>
              <w:top w:val="nil"/>
              <w:left w:val="nil"/>
              <w:bottom w:val="single" w:sz="8" w:space="0" w:color="000000"/>
              <w:right w:val="single" w:sz="8" w:space="0" w:color="000000"/>
            </w:tcBorders>
            <w:vAlign w:val="center"/>
            <w:hideMark/>
          </w:tcPr>
          <w:p w:rsidR="00814B01" w:rsidRDefault="00814B01" w:rsidP="00A54E92">
            <w:pPr>
              <w:spacing w:after="0" w:line="240" w:lineRule="auto"/>
              <w:rPr>
                <w:rFonts w:ascii="Rockwell" w:hAnsi="Rockwell"/>
                <w:sz w:val="24"/>
                <w:szCs w:val="24"/>
              </w:rPr>
            </w:pPr>
          </w:p>
        </w:tc>
      </w:tr>
      <w:tr w:rsidR="00814B01" w:rsidTr="00A54E92">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B01" w:rsidRDefault="00814B01" w:rsidP="00A54E92">
            <w:pPr>
              <w:spacing w:after="0" w:line="240" w:lineRule="auto"/>
              <w:rPr>
                <w:rFonts w:ascii="Rockwell" w:hAnsi="Rockwell"/>
                <w:b/>
                <w:bCs/>
                <w:sz w:val="24"/>
                <w:szCs w:val="24"/>
              </w:rPr>
            </w:pPr>
            <w:r>
              <w:rPr>
                <w:rFonts w:ascii="Rockwell" w:hAnsi="Rockwell"/>
                <w:b/>
                <w:bCs/>
                <w:sz w:val="24"/>
                <w:szCs w:val="24"/>
              </w:rPr>
              <w:t>TOTAL</w:t>
            </w:r>
          </w:p>
        </w:tc>
        <w:tc>
          <w:tcPr>
            <w:tcW w:w="2169"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b/>
                <w:bCs/>
                <w:sz w:val="24"/>
                <w:szCs w:val="24"/>
              </w:rPr>
            </w:pPr>
            <w:r>
              <w:rPr>
                <w:rFonts w:ascii="Rockwell" w:hAnsi="Rockwell"/>
                <w:b/>
                <w:bCs/>
                <w:sz w:val="24"/>
                <w:szCs w:val="24"/>
              </w:rPr>
              <w:t>939,910.00</w:t>
            </w:r>
          </w:p>
        </w:tc>
        <w:tc>
          <w:tcPr>
            <w:tcW w:w="1662"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b/>
                <w:bCs/>
                <w:sz w:val="24"/>
                <w:szCs w:val="24"/>
              </w:rPr>
            </w:pPr>
            <w:r>
              <w:rPr>
                <w:rFonts w:ascii="Rockwell" w:hAnsi="Rockwell"/>
                <w:b/>
                <w:bCs/>
                <w:sz w:val="24"/>
                <w:szCs w:val="24"/>
              </w:rPr>
              <w:t>456,663.00</w:t>
            </w:r>
          </w:p>
        </w:tc>
        <w:tc>
          <w:tcPr>
            <w:tcW w:w="1874"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b/>
                <w:bCs/>
                <w:sz w:val="24"/>
                <w:szCs w:val="24"/>
              </w:rPr>
            </w:pPr>
            <w:r>
              <w:rPr>
                <w:rFonts w:ascii="Rockwell" w:hAnsi="Rockwell"/>
                <w:b/>
                <w:bCs/>
                <w:sz w:val="24"/>
                <w:szCs w:val="24"/>
              </w:rPr>
              <w:t>483,247.00</w:t>
            </w:r>
          </w:p>
        </w:tc>
        <w:tc>
          <w:tcPr>
            <w:tcW w:w="1550" w:type="dxa"/>
            <w:tcBorders>
              <w:top w:val="nil"/>
              <w:left w:val="nil"/>
              <w:bottom w:val="single" w:sz="8" w:space="0" w:color="000000"/>
              <w:right w:val="single" w:sz="8" w:space="0" w:color="000000"/>
            </w:tcBorders>
            <w:tcMar>
              <w:top w:w="0" w:type="dxa"/>
              <w:left w:w="108" w:type="dxa"/>
              <w:bottom w:w="0" w:type="dxa"/>
              <w:right w:w="108" w:type="dxa"/>
            </w:tcMar>
          </w:tcPr>
          <w:p w:rsidR="00814B01" w:rsidRDefault="00814B01" w:rsidP="00A54E92">
            <w:pPr>
              <w:spacing w:after="0" w:line="240" w:lineRule="auto"/>
              <w:rPr>
                <w:rFonts w:ascii="Rockwell" w:hAnsi="Rockwell"/>
                <w:b/>
                <w:bCs/>
                <w:sz w:val="24"/>
                <w:szCs w:val="24"/>
              </w:rPr>
            </w:pPr>
            <w:r>
              <w:rPr>
                <w:rFonts w:ascii="Rockwell" w:hAnsi="Rockwell"/>
                <w:b/>
                <w:bCs/>
                <w:sz w:val="24"/>
                <w:szCs w:val="24"/>
              </w:rPr>
              <w:t>49%</w:t>
            </w:r>
          </w:p>
        </w:tc>
      </w:tr>
    </w:tbl>
    <w:p w:rsidR="00D61B39" w:rsidRDefault="00D61B39" w:rsidP="00F72E6B">
      <w:pPr>
        <w:rPr>
          <w:rFonts w:ascii="Rockwell" w:hAnsi="Rockwell"/>
          <w:sz w:val="24"/>
          <w:szCs w:val="24"/>
        </w:rPr>
      </w:pPr>
    </w:p>
    <w:p w:rsidR="00F72E6B" w:rsidRDefault="004D21CF" w:rsidP="00F72E6B">
      <w:pPr>
        <w:pStyle w:val="Default"/>
        <w:rPr>
          <w:b/>
          <w:bCs/>
          <w:color w:val="auto"/>
          <w:sz w:val="28"/>
          <w:szCs w:val="28"/>
        </w:rPr>
      </w:pPr>
      <w:r>
        <w:rPr>
          <w:b/>
          <w:bCs/>
          <w:color w:val="auto"/>
          <w:sz w:val="28"/>
          <w:szCs w:val="28"/>
        </w:rPr>
        <w:t>Table 2</w:t>
      </w:r>
      <w:r w:rsidR="00F72E6B">
        <w:rPr>
          <w:b/>
          <w:bCs/>
          <w:color w:val="auto"/>
          <w:sz w:val="28"/>
          <w:szCs w:val="28"/>
        </w:rPr>
        <w:t>. Expenditure to Date (Five Year Outlook)</w:t>
      </w:r>
    </w:p>
    <w:tbl>
      <w:tblPr>
        <w:tblW w:w="10885" w:type="dxa"/>
        <w:tblInd w:w="-185" w:type="dxa"/>
        <w:tblCellMar>
          <w:left w:w="0" w:type="dxa"/>
          <w:right w:w="0" w:type="dxa"/>
        </w:tblCellMar>
        <w:tblLook w:val="04A0" w:firstRow="1" w:lastRow="0" w:firstColumn="1" w:lastColumn="0" w:noHBand="0" w:noVBand="1"/>
      </w:tblPr>
      <w:tblGrid>
        <w:gridCol w:w="1099"/>
        <w:gridCol w:w="1053"/>
        <w:gridCol w:w="979"/>
        <w:gridCol w:w="1069"/>
        <w:gridCol w:w="1200"/>
        <w:gridCol w:w="735"/>
        <w:gridCol w:w="692"/>
        <w:gridCol w:w="692"/>
        <w:gridCol w:w="1168"/>
        <w:gridCol w:w="1168"/>
        <w:gridCol w:w="1030"/>
      </w:tblGrid>
      <w:tr w:rsidR="00F72E6B" w:rsidTr="00A30225">
        <w:trPr>
          <w:trHeight w:val="540"/>
        </w:trPr>
        <w:tc>
          <w:tcPr>
            <w:tcW w:w="1098" w:type="dxa"/>
            <w:vMerge w:val="restart"/>
            <w:tcBorders>
              <w:top w:val="single" w:sz="8" w:space="0" w:color="000000"/>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rsidR="00F72E6B" w:rsidRDefault="00F72E6B" w:rsidP="00A30225">
            <w:pPr>
              <w:pStyle w:val="Default"/>
              <w:jc w:val="both"/>
              <w:rPr>
                <w:sz w:val="18"/>
                <w:szCs w:val="18"/>
              </w:rPr>
            </w:pPr>
            <w:r>
              <w:rPr>
                <w:b/>
                <w:bCs/>
                <w:sz w:val="18"/>
                <w:szCs w:val="18"/>
              </w:rPr>
              <w:t xml:space="preserve">Donor </w:t>
            </w:r>
          </w:p>
          <w:p w:rsidR="00F72E6B" w:rsidRDefault="00F72E6B" w:rsidP="00A30225">
            <w:pPr>
              <w:spacing w:after="0" w:line="240" w:lineRule="auto"/>
              <w:rPr>
                <w:rFonts w:ascii="Times New Roman" w:hAnsi="Times New Roman" w:cs="Times New Roman"/>
                <w:color w:val="2E74B5"/>
                <w:sz w:val="18"/>
                <w:szCs w:val="18"/>
              </w:rPr>
            </w:pPr>
          </w:p>
        </w:tc>
        <w:tc>
          <w:tcPr>
            <w:tcW w:w="1057" w:type="dxa"/>
            <w:vMerge w:val="restart"/>
            <w:tcBorders>
              <w:top w:val="single" w:sz="8" w:space="0" w:color="000000"/>
              <w:left w:val="nil"/>
              <w:bottom w:val="single" w:sz="8" w:space="0" w:color="000000"/>
              <w:right w:val="single" w:sz="8" w:space="0" w:color="000000"/>
            </w:tcBorders>
            <w:shd w:val="clear" w:color="auto" w:fill="BDD6EE"/>
            <w:tcMar>
              <w:top w:w="0" w:type="dxa"/>
              <w:left w:w="108" w:type="dxa"/>
              <w:bottom w:w="0" w:type="dxa"/>
              <w:right w:w="108" w:type="dxa"/>
            </w:tcMar>
            <w:hideMark/>
          </w:tcPr>
          <w:p w:rsidR="00F72E6B" w:rsidRDefault="00F72E6B" w:rsidP="00A30225">
            <w:pPr>
              <w:pStyle w:val="Default"/>
              <w:jc w:val="both"/>
              <w:rPr>
                <w:sz w:val="18"/>
                <w:szCs w:val="18"/>
              </w:rPr>
            </w:pPr>
            <w:r>
              <w:rPr>
                <w:b/>
                <w:bCs/>
                <w:sz w:val="18"/>
                <w:szCs w:val="18"/>
              </w:rPr>
              <w:t>Total funds committed (USD)</w:t>
            </w:r>
          </w:p>
        </w:tc>
        <w:tc>
          <w:tcPr>
            <w:tcW w:w="5310" w:type="dxa"/>
            <w:gridSpan w:val="6"/>
            <w:tcBorders>
              <w:top w:val="single" w:sz="8" w:space="0" w:color="000000"/>
              <w:left w:val="nil"/>
              <w:bottom w:val="single" w:sz="8" w:space="0" w:color="000000"/>
              <w:right w:val="single" w:sz="8" w:space="0" w:color="000000"/>
            </w:tcBorders>
            <w:shd w:val="clear" w:color="auto" w:fill="BDD6EE"/>
            <w:tcMar>
              <w:top w:w="0" w:type="dxa"/>
              <w:left w:w="108" w:type="dxa"/>
              <w:bottom w:w="0" w:type="dxa"/>
              <w:right w:w="108" w:type="dxa"/>
            </w:tcMar>
            <w:hideMark/>
          </w:tcPr>
          <w:p w:rsidR="00F72E6B" w:rsidRDefault="00F72E6B" w:rsidP="00A30225">
            <w:pPr>
              <w:pStyle w:val="Default"/>
              <w:jc w:val="both"/>
              <w:rPr>
                <w:b/>
                <w:bCs/>
                <w:sz w:val="18"/>
                <w:szCs w:val="18"/>
              </w:rPr>
            </w:pPr>
            <w:r>
              <w:rPr>
                <w:b/>
                <w:bCs/>
                <w:sz w:val="18"/>
                <w:szCs w:val="18"/>
              </w:rPr>
              <w:t>Expenditure by period</w:t>
            </w:r>
          </w:p>
        </w:tc>
        <w:tc>
          <w:tcPr>
            <w:tcW w:w="1170" w:type="dxa"/>
            <w:vMerge w:val="restart"/>
            <w:tcBorders>
              <w:top w:val="single" w:sz="8" w:space="0" w:color="000000"/>
              <w:left w:val="nil"/>
              <w:bottom w:val="single" w:sz="8" w:space="0" w:color="000000"/>
              <w:right w:val="single" w:sz="8" w:space="0" w:color="000000"/>
            </w:tcBorders>
            <w:shd w:val="clear" w:color="auto" w:fill="BDD6EE"/>
            <w:tcMar>
              <w:top w:w="0" w:type="dxa"/>
              <w:left w:w="108" w:type="dxa"/>
              <w:bottom w:w="0" w:type="dxa"/>
              <w:right w:w="108" w:type="dxa"/>
            </w:tcMar>
            <w:hideMark/>
          </w:tcPr>
          <w:p w:rsidR="00F72E6B" w:rsidRDefault="00F72E6B" w:rsidP="00A30225">
            <w:pPr>
              <w:pStyle w:val="Default"/>
              <w:jc w:val="both"/>
              <w:rPr>
                <w:sz w:val="18"/>
                <w:szCs w:val="18"/>
              </w:rPr>
            </w:pPr>
            <w:r>
              <w:rPr>
                <w:b/>
                <w:bCs/>
                <w:sz w:val="18"/>
                <w:szCs w:val="18"/>
              </w:rPr>
              <w:t xml:space="preserve">Cumulative Expenditure </w:t>
            </w:r>
          </w:p>
          <w:p w:rsidR="00F72E6B" w:rsidRDefault="00F72E6B" w:rsidP="00A30225">
            <w:pPr>
              <w:spacing w:after="0" w:line="240" w:lineRule="auto"/>
              <w:rPr>
                <w:rFonts w:ascii="Times New Roman" w:hAnsi="Times New Roman" w:cs="Times New Roman"/>
                <w:color w:val="2E74B5"/>
                <w:sz w:val="18"/>
                <w:szCs w:val="18"/>
              </w:rPr>
            </w:pPr>
            <w:r>
              <w:rPr>
                <w:rFonts w:ascii="Times New Roman" w:hAnsi="Times New Roman" w:cs="Times New Roman"/>
                <w:sz w:val="18"/>
                <w:szCs w:val="18"/>
              </w:rPr>
              <w:t>(USD)</w:t>
            </w:r>
          </w:p>
        </w:tc>
        <w:tc>
          <w:tcPr>
            <w:tcW w:w="1170" w:type="dxa"/>
            <w:vMerge w:val="restart"/>
            <w:tcBorders>
              <w:top w:val="single" w:sz="8" w:space="0" w:color="000000"/>
              <w:left w:val="nil"/>
              <w:bottom w:val="single" w:sz="8" w:space="0" w:color="000000"/>
              <w:right w:val="single" w:sz="8" w:space="0" w:color="000000"/>
            </w:tcBorders>
            <w:shd w:val="clear" w:color="auto" w:fill="BDD6EE"/>
            <w:tcMar>
              <w:top w:w="0" w:type="dxa"/>
              <w:left w:w="108" w:type="dxa"/>
              <w:bottom w:w="0" w:type="dxa"/>
              <w:right w:w="108" w:type="dxa"/>
            </w:tcMar>
            <w:hideMark/>
          </w:tcPr>
          <w:p w:rsidR="00F72E6B" w:rsidRDefault="00F72E6B" w:rsidP="00A30225">
            <w:pPr>
              <w:pStyle w:val="Default"/>
              <w:jc w:val="both"/>
              <w:rPr>
                <w:sz w:val="18"/>
                <w:szCs w:val="18"/>
              </w:rPr>
            </w:pPr>
            <w:r>
              <w:rPr>
                <w:b/>
                <w:bCs/>
                <w:sz w:val="18"/>
                <w:szCs w:val="18"/>
              </w:rPr>
              <w:t>Balance</w:t>
            </w:r>
          </w:p>
          <w:p w:rsidR="00F72E6B" w:rsidRDefault="00F72E6B" w:rsidP="00A30225">
            <w:pPr>
              <w:spacing w:after="0" w:line="240" w:lineRule="auto"/>
              <w:rPr>
                <w:rFonts w:ascii="Times New Roman" w:hAnsi="Times New Roman" w:cs="Times New Roman"/>
                <w:color w:val="2E74B5"/>
                <w:sz w:val="18"/>
                <w:szCs w:val="18"/>
              </w:rPr>
            </w:pPr>
            <w:r>
              <w:rPr>
                <w:rFonts w:ascii="Times New Roman" w:hAnsi="Times New Roman" w:cs="Times New Roman"/>
                <w:sz w:val="18"/>
                <w:szCs w:val="18"/>
              </w:rPr>
              <w:t>(USD)</w:t>
            </w:r>
          </w:p>
        </w:tc>
        <w:tc>
          <w:tcPr>
            <w:tcW w:w="1080" w:type="dxa"/>
            <w:vMerge w:val="restart"/>
            <w:tcBorders>
              <w:top w:val="single" w:sz="8" w:space="0" w:color="000000"/>
              <w:left w:val="nil"/>
              <w:bottom w:val="single" w:sz="8" w:space="0" w:color="000000"/>
              <w:right w:val="single" w:sz="8" w:space="0" w:color="000000"/>
            </w:tcBorders>
            <w:shd w:val="clear" w:color="auto" w:fill="BDD6EE"/>
            <w:tcMar>
              <w:top w:w="0" w:type="dxa"/>
              <w:left w:w="108" w:type="dxa"/>
              <w:bottom w:w="0" w:type="dxa"/>
              <w:right w:w="108" w:type="dxa"/>
            </w:tcMar>
          </w:tcPr>
          <w:p w:rsidR="00F72E6B" w:rsidRDefault="00F72E6B" w:rsidP="00A30225">
            <w:pPr>
              <w:pStyle w:val="Default"/>
              <w:jc w:val="both"/>
              <w:rPr>
                <w:sz w:val="18"/>
                <w:szCs w:val="18"/>
              </w:rPr>
            </w:pPr>
            <w:r>
              <w:rPr>
                <w:b/>
                <w:bCs/>
                <w:sz w:val="18"/>
                <w:szCs w:val="18"/>
              </w:rPr>
              <w:t xml:space="preserve">% Delivery </w:t>
            </w:r>
          </w:p>
          <w:p w:rsidR="00F72E6B" w:rsidRDefault="00F72E6B" w:rsidP="00A30225">
            <w:pPr>
              <w:spacing w:after="0" w:line="240" w:lineRule="auto"/>
              <w:rPr>
                <w:rFonts w:ascii="Times New Roman" w:hAnsi="Times New Roman" w:cs="Times New Roman"/>
                <w:color w:val="2E74B5"/>
                <w:sz w:val="18"/>
                <w:szCs w:val="18"/>
              </w:rPr>
            </w:pPr>
          </w:p>
        </w:tc>
      </w:tr>
      <w:tr w:rsidR="00F72E6B" w:rsidTr="00A30225">
        <w:trPr>
          <w:trHeight w:val="540"/>
        </w:trPr>
        <w:tc>
          <w:tcPr>
            <w:tcW w:w="1098" w:type="dxa"/>
            <w:vMerge/>
            <w:tcBorders>
              <w:top w:val="single" w:sz="8" w:space="0" w:color="000000"/>
              <w:left w:val="single" w:sz="8" w:space="0" w:color="000000"/>
              <w:bottom w:val="single" w:sz="8" w:space="0" w:color="000000"/>
              <w:right w:val="single" w:sz="8" w:space="0" w:color="000000"/>
            </w:tcBorders>
            <w:vAlign w:val="center"/>
            <w:hideMark/>
          </w:tcPr>
          <w:p w:rsidR="00F72E6B" w:rsidRDefault="00F72E6B" w:rsidP="00A30225">
            <w:pPr>
              <w:spacing w:after="0" w:line="240" w:lineRule="auto"/>
              <w:rPr>
                <w:rFonts w:ascii="Times New Roman" w:hAnsi="Times New Roman" w:cs="Times New Roman"/>
                <w:color w:val="2E74B5"/>
                <w:sz w:val="18"/>
                <w:szCs w:val="18"/>
              </w:rPr>
            </w:pPr>
          </w:p>
        </w:tc>
        <w:tc>
          <w:tcPr>
            <w:tcW w:w="1057" w:type="dxa"/>
            <w:vMerge/>
            <w:tcBorders>
              <w:top w:val="single" w:sz="8" w:space="0" w:color="000000"/>
              <w:left w:val="nil"/>
              <w:bottom w:val="single" w:sz="8" w:space="0" w:color="000000"/>
              <w:right w:val="single" w:sz="8" w:space="0" w:color="000000"/>
            </w:tcBorders>
            <w:vAlign w:val="center"/>
            <w:hideMark/>
          </w:tcPr>
          <w:p w:rsidR="00F72E6B" w:rsidRDefault="00F72E6B" w:rsidP="00A30225">
            <w:pPr>
              <w:spacing w:after="0" w:line="240" w:lineRule="auto"/>
              <w:rPr>
                <w:color w:val="000000"/>
                <w:sz w:val="18"/>
                <w:szCs w:val="18"/>
                <w:lang w:val="en-ZA"/>
              </w:rPr>
            </w:pPr>
          </w:p>
        </w:tc>
        <w:tc>
          <w:tcPr>
            <w:tcW w:w="990" w:type="dxa"/>
            <w:tcBorders>
              <w:top w:val="nil"/>
              <w:left w:val="nil"/>
              <w:bottom w:val="single" w:sz="8" w:space="0" w:color="000000"/>
              <w:right w:val="single" w:sz="8" w:space="0" w:color="000000"/>
            </w:tcBorders>
            <w:shd w:val="clear" w:color="auto" w:fill="BDD6EE"/>
            <w:tcMar>
              <w:top w:w="0" w:type="dxa"/>
              <w:left w:w="108" w:type="dxa"/>
              <w:bottom w:w="0" w:type="dxa"/>
              <w:right w:w="108" w:type="dxa"/>
            </w:tcMar>
            <w:hideMark/>
          </w:tcPr>
          <w:p w:rsidR="00F72E6B" w:rsidRDefault="00F72E6B" w:rsidP="00A30225">
            <w:pPr>
              <w:pStyle w:val="Default"/>
              <w:jc w:val="both"/>
              <w:rPr>
                <w:b/>
                <w:bCs/>
                <w:sz w:val="18"/>
                <w:szCs w:val="18"/>
              </w:rPr>
            </w:pPr>
            <w:r>
              <w:rPr>
                <w:b/>
                <w:bCs/>
                <w:sz w:val="18"/>
                <w:szCs w:val="18"/>
              </w:rPr>
              <w:t>2016</w:t>
            </w:r>
          </w:p>
        </w:tc>
        <w:tc>
          <w:tcPr>
            <w:tcW w:w="1080" w:type="dxa"/>
            <w:tcBorders>
              <w:top w:val="nil"/>
              <w:left w:val="nil"/>
              <w:bottom w:val="single" w:sz="8" w:space="0" w:color="000000"/>
              <w:right w:val="single" w:sz="8" w:space="0" w:color="000000"/>
            </w:tcBorders>
            <w:shd w:val="clear" w:color="auto" w:fill="BDD6EE"/>
            <w:tcMar>
              <w:top w:w="0" w:type="dxa"/>
              <w:left w:w="108" w:type="dxa"/>
              <w:bottom w:w="0" w:type="dxa"/>
              <w:right w:w="108" w:type="dxa"/>
            </w:tcMar>
            <w:hideMark/>
          </w:tcPr>
          <w:p w:rsidR="00F72E6B" w:rsidRDefault="00F72E6B" w:rsidP="00A30225">
            <w:pPr>
              <w:pStyle w:val="Default"/>
              <w:jc w:val="both"/>
              <w:rPr>
                <w:b/>
                <w:bCs/>
                <w:sz w:val="18"/>
                <w:szCs w:val="18"/>
              </w:rPr>
            </w:pPr>
            <w:r>
              <w:rPr>
                <w:b/>
                <w:bCs/>
                <w:sz w:val="18"/>
                <w:szCs w:val="18"/>
              </w:rPr>
              <w:t>2017</w:t>
            </w:r>
          </w:p>
        </w:tc>
        <w:tc>
          <w:tcPr>
            <w:tcW w:w="1026" w:type="dxa"/>
            <w:tcBorders>
              <w:top w:val="nil"/>
              <w:left w:val="nil"/>
              <w:bottom w:val="single" w:sz="8" w:space="0" w:color="000000"/>
              <w:right w:val="single" w:sz="8" w:space="0" w:color="000000"/>
            </w:tcBorders>
            <w:shd w:val="clear" w:color="auto" w:fill="BDD6EE"/>
            <w:tcMar>
              <w:top w:w="0" w:type="dxa"/>
              <w:left w:w="108" w:type="dxa"/>
              <w:bottom w:w="0" w:type="dxa"/>
              <w:right w:w="108" w:type="dxa"/>
            </w:tcMar>
            <w:hideMark/>
          </w:tcPr>
          <w:p w:rsidR="00F72E6B" w:rsidRDefault="00F72E6B" w:rsidP="00A30225">
            <w:pPr>
              <w:pStyle w:val="Default"/>
              <w:jc w:val="both"/>
              <w:rPr>
                <w:b/>
                <w:bCs/>
                <w:sz w:val="18"/>
                <w:szCs w:val="18"/>
              </w:rPr>
            </w:pPr>
            <w:r>
              <w:rPr>
                <w:b/>
                <w:bCs/>
                <w:sz w:val="18"/>
                <w:szCs w:val="18"/>
              </w:rPr>
              <w:t>2018</w:t>
            </w:r>
          </w:p>
        </w:tc>
        <w:tc>
          <w:tcPr>
            <w:tcW w:w="774" w:type="dxa"/>
            <w:tcBorders>
              <w:top w:val="nil"/>
              <w:left w:val="nil"/>
              <w:bottom w:val="single" w:sz="8" w:space="0" w:color="000000"/>
              <w:right w:val="single" w:sz="8" w:space="0" w:color="000000"/>
            </w:tcBorders>
            <w:shd w:val="clear" w:color="auto" w:fill="BDD6EE"/>
            <w:tcMar>
              <w:top w:w="0" w:type="dxa"/>
              <w:left w:w="108" w:type="dxa"/>
              <w:bottom w:w="0" w:type="dxa"/>
              <w:right w:w="108" w:type="dxa"/>
            </w:tcMar>
            <w:hideMark/>
          </w:tcPr>
          <w:p w:rsidR="00F72E6B" w:rsidRDefault="00F72E6B" w:rsidP="00A30225">
            <w:pPr>
              <w:pStyle w:val="Default"/>
              <w:jc w:val="both"/>
              <w:rPr>
                <w:b/>
                <w:bCs/>
                <w:sz w:val="18"/>
                <w:szCs w:val="18"/>
              </w:rPr>
            </w:pPr>
            <w:r>
              <w:rPr>
                <w:b/>
                <w:bCs/>
                <w:sz w:val="18"/>
                <w:szCs w:val="18"/>
              </w:rPr>
              <w:t>2019</w:t>
            </w:r>
          </w:p>
        </w:tc>
        <w:tc>
          <w:tcPr>
            <w:tcW w:w="720" w:type="dxa"/>
            <w:tcBorders>
              <w:top w:val="nil"/>
              <w:left w:val="nil"/>
              <w:bottom w:val="single" w:sz="8" w:space="0" w:color="000000"/>
              <w:right w:val="single" w:sz="8" w:space="0" w:color="000000"/>
            </w:tcBorders>
            <w:shd w:val="clear" w:color="auto" w:fill="BDD6EE"/>
            <w:tcMar>
              <w:top w:w="0" w:type="dxa"/>
              <w:left w:w="108" w:type="dxa"/>
              <w:bottom w:w="0" w:type="dxa"/>
              <w:right w:w="108" w:type="dxa"/>
            </w:tcMar>
            <w:hideMark/>
          </w:tcPr>
          <w:p w:rsidR="00F72E6B" w:rsidRDefault="00F72E6B" w:rsidP="00A30225">
            <w:pPr>
              <w:pStyle w:val="Default"/>
              <w:jc w:val="both"/>
              <w:rPr>
                <w:b/>
                <w:bCs/>
                <w:sz w:val="18"/>
                <w:szCs w:val="18"/>
              </w:rPr>
            </w:pPr>
            <w:r>
              <w:rPr>
                <w:b/>
                <w:bCs/>
                <w:sz w:val="18"/>
                <w:szCs w:val="18"/>
              </w:rPr>
              <w:t>2020</w:t>
            </w:r>
          </w:p>
        </w:tc>
        <w:tc>
          <w:tcPr>
            <w:tcW w:w="720" w:type="dxa"/>
            <w:tcBorders>
              <w:top w:val="nil"/>
              <w:left w:val="nil"/>
              <w:bottom w:val="single" w:sz="8" w:space="0" w:color="000000"/>
              <w:right w:val="single" w:sz="8" w:space="0" w:color="000000"/>
            </w:tcBorders>
            <w:shd w:val="clear" w:color="auto" w:fill="BDD6EE"/>
            <w:tcMar>
              <w:top w:w="0" w:type="dxa"/>
              <w:left w:w="108" w:type="dxa"/>
              <w:bottom w:w="0" w:type="dxa"/>
              <w:right w:w="108" w:type="dxa"/>
            </w:tcMar>
            <w:hideMark/>
          </w:tcPr>
          <w:p w:rsidR="00F72E6B" w:rsidRDefault="00F72E6B" w:rsidP="00A30225">
            <w:pPr>
              <w:pStyle w:val="Default"/>
              <w:jc w:val="both"/>
              <w:rPr>
                <w:b/>
                <w:bCs/>
                <w:sz w:val="18"/>
                <w:szCs w:val="18"/>
              </w:rPr>
            </w:pPr>
            <w:r>
              <w:rPr>
                <w:b/>
                <w:bCs/>
                <w:sz w:val="18"/>
                <w:szCs w:val="18"/>
              </w:rPr>
              <w:t>2021</w:t>
            </w:r>
          </w:p>
        </w:tc>
        <w:tc>
          <w:tcPr>
            <w:tcW w:w="1170" w:type="dxa"/>
            <w:vMerge/>
            <w:tcBorders>
              <w:top w:val="single" w:sz="8" w:space="0" w:color="000000"/>
              <w:left w:val="nil"/>
              <w:bottom w:val="single" w:sz="8" w:space="0" w:color="000000"/>
              <w:right w:val="single" w:sz="8" w:space="0" w:color="000000"/>
            </w:tcBorders>
            <w:vAlign w:val="center"/>
            <w:hideMark/>
          </w:tcPr>
          <w:p w:rsidR="00F72E6B" w:rsidRDefault="00F72E6B" w:rsidP="00A30225">
            <w:pPr>
              <w:spacing w:after="0" w:line="240" w:lineRule="auto"/>
              <w:rPr>
                <w:rFonts w:ascii="Times New Roman" w:hAnsi="Times New Roman" w:cs="Times New Roman"/>
                <w:color w:val="2E74B5"/>
                <w:sz w:val="18"/>
                <w:szCs w:val="18"/>
              </w:rPr>
            </w:pPr>
          </w:p>
        </w:tc>
        <w:tc>
          <w:tcPr>
            <w:tcW w:w="1170" w:type="dxa"/>
            <w:vMerge/>
            <w:tcBorders>
              <w:top w:val="single" w:sz="8" w:space="0" w:color="000000"/>
              <w:left w:val="nil"/>
              <w:bottom w:val="single" w:sz="8" w:space="0" w:color="000000"/>
              <w:right w:val="single" w:sz="8" w:space="0" w:color="000000"/>
            </w:tcBorders>
            <w:vAlign w:val="center"/>
            <w:hideMark/>
          </w:tcPr>
          <w:p w:rsidR="00F72E6B" w:rsidRDefault="00F72E6B" w:rsidP="00A30225">
            <w:pPr>
              <w:spacing w:after="0" w:line="240" w:lineRule="auto"/>
              <w:rPr>
                <w:rFonts w:ascii="Times New Roman" w:hAnsi="Times New Roman" w:cs="Times New Roman"/>
                <w:color w:val="2E74B5"/>
                <w:sz w:val="18"/>
                <w:szCs w:val="18"/>
              </w:rPr>
            </w:pPr>
          </w:p>
        </w:tc>
        <w:tc>
          <w:tcPr>
            <w:tcW w:w="1080" w:type="dxa"/>
            <w:vMerge/>
            <w:tcBorders>
              <w:top w:val="single" w:sz="8" w:space="0" w:color="000000"/>
              <w:left w:val="nil"/>
              <w:bottom w:val="single" w:sz="8" w:space="0" w:color="000000"/>
              <w:right w:val="single" w:sz="8" w:space="0" w:color="000000"/>
            </w:tcBorders>
            <w:vAlign w:val="center"/>
            <w:hideMark/>
          </w:tcPr>
          <w:p w:rsidR="00F72E6B" w:rsidRDefault="00F72E6B" w:rsidP="00A30225">
            <w:pPr>
              <w:spacing w:after="0" w:line="240" w:lineRule="auto"/>
              <w:rPr>
                <w:rFonts w:ascii="Times New Roman" w:hAnsi="Times New Roman" w:cs="Times New Roman"/>
                <w:color w:val="2E74B5"/>
                <w:sz w:val="18"/>
                <w:szCs w:val="18"/>
              </w:rPr>
            </w:pPr>
          </w:p>
        </w:tc>
      </w:tr>
      <w:tr w:rsidR="00D61B39" w:rsidTr="00A30225">
        <w:trPr>
          <w:trHeight w:val="828"/>
        </w:trPr>
        <w:tc>
          <w:tcPr>
            <w:tcW w:w="10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61B39" w:rsidRDefault="00D61B39" w:rsidP="00D61B39">
            <w:pPr>
              <w:spacing w:after="0" w:line="240" w:lineRule="auto"/>
              <w:rPr>
                <w:rFonts w:ascii="Times New Roman" w:hAnsi="Times New Roman" w:cs="Times New Roman"/>
                <w:sz w:val="18"/>
                <w:szCs w:val="18"/>
              </w:rPr>
            </w:pPr>
          </w:p>
          <w:p w:rsidR="00D61B39" w:rsidRDefault="00D61B39" w:rsidP="00D61B39">
            <w:pPr>
              <w:spacing w:after="0" w:line="240" w:lineRule="auto"/>
              <w:rPr>
                <w:rFonts w:ascii="Times New Roman" w:hAnsi="Times New Roman" w:cs="Times New Roman"/>
                <w:sz w:val="18"/>
                <w:szCs w:val="18"/>
              </w:rPr>
            </w:pPr>
            <w:r>
              <w:rPr>
                <w:rFonts w:ascii="Times New Roman" w:hAnsi="Times New Roman" w:cs="Times New Roman"/>
                <w:sz w:val="18"/>
                <w:szCs w:val="18"/>
              </w:rPr>
              <w:t>GEF/UNDP</w:t>
            </w:r>
          </w:p>
        </w:tc>
        <w:tc>
          <w:tcPr>
            <w:tcW w:w="1057" w:type="dxa"/>
            <w:tcBorders>
              <w:top w:val="nil"/>
              <w:left w:val="nil"/>
              <w:bottom w:val="single" w:sz="8" w:space="0" w:color="000000"/>
              <w:right w:val="single" w:sz="8" w:space="0" w:color="000000"/>
            </w:tcBorders>
            <w:tcMar>
              <w:top w:w="0" w:type="dxa"/>
              <w:left w:w="108" w:type="dxa"/>
              <w:bottom w:w="0" w:type="dxa"/>
              <w:right w:w="108" w:type="dxa"/>
            </w:tcMar>
          </w:tcPr>
          <w:p w:rsidR="00D61B39" w:rsidRDefault="00D61B39" w:rsidP="00D61B39">
            <w:pPr>
              <w:spacing w:after="0" w:line="240" w:lineRule="auto"/>
              <w:rPr>
                <w:rFonts w:ascii="Times New Roman" w:hAnsi="Times New Roman" w:cs="Times New Roman"/>
                <w:sz w:val="18"/>
                <w:szCs w:val="18"/>
              </w:rPr>
            </w:pPr>
          </w:p>
          <w:p w:rsidR="00D61B39" w:rsidRDefault="00D61B39" w:rsidP="00D61B39">
            <w:pPr>
              <w:spacing w:after="0" w:line="240" w:lineRule="auto"/>
              <w:rPr>
                <w:rFonts w:ascii="Times New Roman" w:hAnsi="Times New Roman" w:cs="Times New Roman"/>
                <w:sz w:val="18"/>
                <w:szCs w:val="18"/>
              </w:rPr>
            </w:pPr>
            <w:r>
              <w:rPr>
                <w:rFonts w:ascii="Times New Roman" w:hAnsi="Times New Roman" w:cs="Times New Roman"/>
                <w:sz w:val="18"/>
                <w:szCs w:val="18"/>
              </w:rPr>
              <w:t>3,900,000</w:t>
            </w:r>
          </w:p>
        </w:tc>
        <w:tc>
          <w:tcPr>
            <w:tcW w:w="990" w:type="dxa"/>
            <w:tcBorders>
              <w:top w:val="nil"/>
              <w:left w:val="nil"/>
              <w:bottom w:val="single" w:sz="8" w:space="0" w:color="000000"/>
              <w:right w:val="single" w:sz="8" w:space="0" w:color="000000"/>
            </w:tcBorders>
            <w:tcMar>
              <w:top w:w="0" w:type="dxa"/>
              <w:left w:w="108" w:type="dxa"/>
              <w:bottom w:w="0" w:type="dxa"/>
              <w:right w:w="108" w:type="dxa"/>
            </w:tcMar>
          </w:tcPr>
          <w:p w:rsidR="00D61B39" w:rsidRDefault="00D61B39" w:rsidP="00D61B39">
            <w:pPr>
              <w:spacing w:after="0" w:line="240" w:lineRule="auto"/>
              <w:rPr>
                <w:rFonts w:ascii="Times New Roman" w:hAnsi="Times New Roman" w:cs="Times New Roman"/>
                <w:sz w:val="18"/>
                <w:szCs w:val="18"/>
              </w:rPr>
            </w:pPr>
          </w:p>
          <w:p w:rsidR="00D61B39" w:rsidRDefault="00D61B39" w:rsidP="00D61B39">
            <w:pPr>
              <w:spacing w:after="0" w:line="240" w:lineRule="auto"/>
              <w:rPr>
                <w:rFonts w:ascii="Times New Roman" w:hAnsi="Times New Roman" w:cs="Times New Roman"/>
                <w:sz w:val="18"/>
                <w:szCs w:val="18"/>
              </w:rPr>
            </w:pPr>
            <w:r>
              <w:rPr>
                <w:rFonts w:ascii="Times New Roman" w:hAnsi="Times New Roman" w:cs="Times New Roman"/>
                <w:sz w:val="18"/>
                <w:szCs w:val="18"/>
              </w:rPr>
              <w:t>75,763.00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D61B39" w:rsidRDefault="00D61B39" w:rsidP="00D61B39">
            <w:pPr>
              <w:spacing w:after="0" w:line="240" w:lineRule="auto"/>
              <w:rPr>
                <w:rFonts w:ascii="Times New Roman" w:hAnsi="Times New Roman" w:cs="Times New Roman"/>
                <w:sz w:val="18"/>
                <w:szCs w:val="18"/>
              </w:rPr>
            </w:pPr>
          </w:p>
          <w:p w:rsidR="00D61B39" w:rsidRDefault="00D61B39" w:rsidP="00D61B39">
            <w:pPr>
              <w:spacing w:after="0" w:line="240" w:lineRule="auto"/>
              <w:rPr>
                <w:rFonts w:ascii="Times New Roman" w:hAnsi="Times New Roman" w:cs="Times New Roman"/>
                <w:sz w:val="18"/>
                <w:szCs w:val="18"/>
              </w:rPr>
            </w:pPr>
            <w:r>
              <w:rPr>
                <w:rFonts w:ascii="Times New Roman" w:hAnsi="Times New Roman" w:cs="Times New Roman"/>
                <w:sz w:val="18"/>
                <w:szCs w:val="18"/>
              </w:rPr>
              <w:t>505,435.98</w:t>
            </w:r>
          </w:p>
        </w:tc>
        <w:tc>
          <w:tcPr>
            <w:tcW w:w="1026" w:type="dxa"/>
            <w:tcBorders>
              <w:top w:val="nil"/>
              <w:left w:val="nil"/>
              <w:bottom w:val="single" w:sz="8" w:space="0" w:color="000000"/>
              <w:right w:val="single" w:sz="8" w:space="0" w:color="000000"/>
            </w:tcBorders>
            <w:tcMar>
              <w:top w:w="0" w:type="dxa"/>
              <w:left w:w="108" w:type="dxa"/>
              <w:bottom w:w="0" w:type="dxa"/>
              <w:right w:w="108" w:type="dxa"/>
            </w:tcMar>
          </w:tcPr>
          <w:p w:rsidR="00D61B39" w:rsidRDefault="00D61B39" w:rsidP="00D61B39">
            <w:pPr>
              <w:spacing w:after="0" w:line="240" w:lineRule="auto"/>
              <w:rPr>
                <w:rFonts w:ascii="Rockwell" w:hAnsi="Rockwell"/>
                <w:bCs/>
                <w:sz w:val="20"/>
                <w:szCs w:val="20"/>
              </w:rPr>
            </w:pPr>
          </w:p>
          <w:p w:rsidR="00D61B39" w:rsidRPr="00D61B39" w:rsidRDefault="00814B01" w:rsidP="00D61B39">
            <w:pPr>
              <w:spacing w:after="0" w:line="240" w:lineRule="auto"/>
              <w:rPr>
                <w:rFonts w:ascii="Rockwell" w:hAnsi="Rockwell"/>
                <w:bCs/>
                <w:sz w:val="20"/>
                <w:szCs w:val="20"/>
              </w:rPr>
            </w:pPr>
            <w:r>
              <w:rPr>
                <w:rFonts w:ascii="Rockwell" w:hAnsi="Rockwell"/>
                <w:bCs/>
                <w:sz w:val="20"/>
                <w:szCs w:val="20"/>
              </w:rPr>
              <w:t>456,663.00</w:t>
            </w:r>
          </w:p>
        </w:tc>
        <w:tc>
          <w:tcPr>
            <w:tcW w:w="774" w:type="dxa"/>
            <w:tcBorders>
              <w:top w:val="nil"/>
              <w:left w:val="nil"/>
              <w:bottom w:val="single" w:sz="8" w:space="0" w:color="000000"/>
              <w:right w:val="single" w:sz="8" w:space="0" w:color="000000"/>
            </w:tcBorders>
            <w:tcMar>
              <w:top w:w="0" w:type="dxa"/>
              <w:left w:w="108" w:type="dxa"/>
              <w:bottom w:w="0" w:type="dxa"/>
              <w:right w:w="108" w:type="dxa"/>
            </w:tcMar>
          </w:tcPr>
          <w:p w:rsidR="00D61B39" w:rsidRDefault="00D61B39" w:rsidP="00D61B39">
            <w:pPr>
              <w:spacing w:after="0" w:line="240" w:lineRule="auto"/>
              <w:rPr>
                <w:rFonts w:ascii="Times New Roman" w:hAnsi="Times New Roman" w:cs="Times New Roman"/>
                <w:sz w:val="18"/>
                <w:szCs w:val="18"/>
              </w:rPr>
            </w:pPr>
          </w:p>
          <w:p w:rsidR="00D61B39" w:rsidRDefault="00D61B39" w:rsidP="00D61B39">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720" w:type="dxa"/>
            <w:tcBorders>
              <w:top w:val="nil"/>
              <w:left w:val="nil"/>
              <w:bottom w:val="single" w:sz="8" w:space="0" w:color="000000"/>
              <w:right w:val="single" w:sz="8" w:space="0" w:color="000000"/>
            </w:tcBorders>
            <w:tcMar>
              <w:top w:w="0" w:type="dxa"/>
              <w:left w:w="108" w:type="dxa"/>
              <w:bottom w:w="0" w:type="dxa"/>
              <w:right w:w="108" w:type="dxa"/>
            </w:tcMar>
          </w:tcPr>
          <w:p w:rsidR="00D61B39" w:rsidRDefault="00D61B39" w:rsidP="00D61B39">
            <w:pPr>
              <w:spacing w:after="0" w:line="240" w:lineRule="auto"/>
              <w:rPr>
                <w:rFonts w:ascii="Times New Roman" w:hAnsi="Times New Roman" w:cs="Times New Roman"/>
                <w:sz w:val="18"/>
                <w:szCs w:val="18"/>
              </w:rPr>
            </w:pPr>
          </w:p>
          <w:p w:rsidR="00D61B39" w:rsidRDefault="00D61B39" w:rsidP="00D61B39">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720" w:type="dxa"/>
            <w:tcBorders>
              <w:top w:val="nil"/>
              <w:left w:val="nil"/>
              <w:bottom w:val="single" w:sz="8" w:space="0" w:color="000000"/>
              <w:right w:val="single" w:sz="8" w:space="0" w:color="000000"/>
            </w:tcBorders>
            <w:tcMar>
              <w:top w:w="0" w:type="dxa"/>
              <w:left w:w="108" w:type="dxa"/>
              <w:bottom w:w="0" w:type="dxa"/>
              <w:right w:w="108" w:type="dxa"/>
            </w:tcMar>
          </w:tcPr>
          <w:p w:rsidR="00D61B39" w:rsidRDefault="00D61B39" w:rsidP="00D61B39">
            <w:pPr>
              <w:spacing w:after="0" w:line="240" w:lineRule="auto"/>
              <w:rPr>
                <w:rFonts w:ascii="Times New Roman" w:hAnsi="Times New Roman" w:cs="Times New Roman"/>
                <w:sz w:val="18"/>
                <w:szCs w:val="18"/>
              </w:rPr>
            </w:pPr>
          </w:p>
          <w:p w:rsidR="00D61B39" w:rsidRDefault="00D61B39" w:rsidP="00D61B39">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1170" w:type="dxa"/>
            <w:tcBorders>
              <w:top w:val="nil"/>
              <w:left w:val="nil"/>
              <w:bottom w:val="single" w:sz="8" w:space="0" w:color="000000"/>
              <w:right w:val="single" w:sz="8" w:space="0" w:color="000000"/>
            </w:tcBorders>
            <w:tcMar>
              <w:top w:w="0" w:type="dxa"/>
              <w:left w:w="108" w:type="dxa"/>
              <w:bottom w:w="0" w:type="dxa"/>
              <w:right w:w="108" w:type="dxa"/>
            </w:tcMar>
          </w:tcPr>
          <w:p w:rsidR="00D61B39" w:rsidRDefault="00D61B39" w:rsidP="00D61B39">
            <w:pPr>
              <w:spacing w:after="0" w:line="240" w:lineRule="auto"/>
              <w:rPr>
                <w:rFonts w:ascii="Times New Roman" w:hAnsi="Times New Roman" w:cs="Times New Roman"/>
                <w:sz w:val="18"/>
                <w:szCs w:val="18"/>
              </w:rPr>
            </w:pPr>
          </w:p>
          <w:p w:rsidR="00D61B39" w:rsidRDefault="00764BD6" w:rsidP="00D61B39">
            <w:pPr>
              <w:spacing w:after="0" w:line="240" w:lineRule="auto"/>
              <w:rPr>
                <w:rFonts w:ascii="Times New Roman" w:hAnsi="Times New Roman" w:cs="Times New Roman"/>
                <w:sz w:val="18"/>
                <w:szCs w:val="18"/>
              </w:rPr>
            </w:pPr>
            <w:r>
              <w:rPr>
                <w:rFonts w:ascii="Times New Roman" w:hAnsi="Times New Roman" w:cs="Times New Roman"/>
                <w:sz w:val="18"/>
                <w:szCs w:val="18"/>
              </w:rPr>
              <w:t>1,037,861.98</w:t>
            </w:r>
          </w:p>
        </w:tc>
        <w:tc>
          <w:tcPr>
            <w:tcW w:w="1170" w:type="dxa"/>
            <w:tcBorders>
              <w:top w:val="nil"/>
              <w:left w:val="nil"/>
              <w:bottom w:val="single" w:sz="8" w:space="0" w:color="000000"/>
              <w:right w:val="single" w:sz="8" w:space="0" w:color="000000"/>
            </w:tcBorders>
            <w:tcMar>
              <w:top w:w="0" w:type="dxa"/>
              <w:left w:w="108" w:type="dxa"/>
              <w:bottom w:w="0" w:type="dxa"/>
              <w:right w:w="108" w:type="dxa"/>
            </w:tcMar>
          </w:tcPr>
          <w:p w:rsidR="00764BD6" w:rsidRDefault="00764BD6" w:rsidP="00D61B39">
            <w:pPr>
              <w:spacing w:after="0" w:line="240" w:lineRule="auto"/>
              <w:rPr>
                <w:rFonts w:ascii="Times New Roman" w:hAnsi="Times New Roman" w:cs="Times New Roman"/>
                <w:sz w:val="18"/>
                <w:szCs w:val="18"/>
              </w:rPr>
            </w:pPr>
          </w:p>
          <w:p w:rsidR="00D61B39" w:rsidRDefault="00764BD6" w:rsidP="00D61B39">
            <w:pPr>
              <w:spacing w:after="0" w:line="240" w:lineRule="auto"/>
              <w:rPr>
                <w:rFonts w:ascii="Times New Roman" w:hAnsi="Times New Roman" w:cs="Times New Roman"/>
                <w:sz w:val="18"/>
                <w:szCs w:val="18"/>
              </w:rPr>
            </w:pPr>
            <w:r>
              <w:rPr>
                <w:rFonts w:ascii="Times New Roman" w:hAnsi="Times New Roman" w:cs="Times New Roman"/>
                <w:sz w:val="18"/>
                <w:szCs w:val="18"/>
              </w:rPr>
              <w:t>2,862,138.02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D61B39" w:rsidRDefault="00D61B39" w:rsidP="00D61B39">
            <w:pPr>
              <w:spacing w:after="0" w:line="240" w:lineRule="auto"/>
              <w:rPr>
                <w:rFonts w:ascii="Times New Roman" w:hAnsi="Times New Roman" w:cs="Times New Roman"/>
                <w:sz w:val="18"/>
                <w:szCs w:val="18"/>
              </w:rPr>
            </w:pPr>
          </w:p>
          <w:p w:rsidR="00D61B39" w:rsidRDefault="00814B01" w:rsidP="00D61B39">
            <w:pPr>
              <w:spacing w:after="0" w:line="240" w:lineRule="auto"/>
              <w:rPr>
                <w:rFonts w:ascii="Times New Roman" w:hAnsi="Times New Roman" w:cs="Times New Roman"/>
                <w:sz w:val="18"/>
                <w:szCs w:val="18"/>
              </w:rPr>
            </w:pPr>
            <w:r>
              <w:rPr>
                <w:rFonts w:ascii="Times New Roman" w:hAnsi="Times New Roman" w:cs="Times New Roman"/>
                <w:sz w:val="18"/>
                <w:szCs w:val="18"/>
              </w:rPr>
              <w:t>26</w:t>
            </w:r>
            <w:r w:rsidR="00D61B39">
              <w:rPr>
                <w:rFonts w:ascii="Times New Roman" w:hAnsi="Times New Roman" w:cs="Times New Roman"/>
                <w:sz w:val="18"/>
                <w:szCs w:val="18"/>
              </w:rPr>
              <w:t>%</w:t>
            </w:r>
          </w:p>
        </w:tc>
      </w:tr>
    </w:tbl>
    <w:p w:rsidR="00D42359" w:rsidRDefault="00D42359" w:rsidP="00696D3D">
      <w:pPr>
        <w:pStyle w:val="Default"/>
        <w:rPr>
          <w:rFonts w:asciiTheme="minorHAnsi" w:eastAsiaTheme="minorEastAsia" w:hAnsiTheme="minorHAnsi" w:cstheme="minorBidi"/>
          <w:color w:val="auto"/>
          <w:sz w:val="22"/>
          <w:szCs w:val="22"/>
          <w:lang w:val="en-US"/>
        </w:rPr>
      </w:pPr>
    </w:p>
    <w:p w:rsidR="00814B01" w:rsidRDefault="00814B01" w:rsidP="000A2880">
      <w:pPr>
        <w:pStyle w:val="Default"/>
        <w:rPr>
          <w:rFonts w:asciiTheme="minorHAnsi" w:eastAsiaTheme="minorEastAsia" w:hAnsiTheme="minorHAnsi" w:cstheme="minorBidi"/>
          <w:b/>
          <w:color w:val="auto"/>
          <w:sz w:val="28"/>
          <w:szCs w:val="28"/>
          <w:lang w:val="en-US"/>
        </w:rPr>
      </w:pPr>
    </w:p>
    <w:p w:rsidR="004D21CF" w:rsidRDefault="004D21CF" w:rsidP="000A2880">
      <w:pPr>
        <w:pStyle w:val="Default"/>
        <w:rPr>
          <w:rFonts w:asciiTheme="minorHAnsi" w:eastAsiaTheme="minorEastAsia" w:hAnsiTheme="minorHAnsi" w:cstheme="minorBidi"/>
          <w:b/>
          <w:color w:val="auto"/>
          <w:sz w:val="28"/>
          <w:szCs w:val="28"/>
          <w:lang w:val="en-US"/>
        </w:rPr>
      </w:pPr>
    </w:p>
    <w:p w:rsidR="004D21CF" w:rsidRDefault="004D21CF" w:rsidP="000A2880">
      <w:pPr>
        <w:pStyle w:val="Default"/>
        <w:rPr>
          <w:rFonts w:asciiTheme="minorHAnsi" w:eastAsiaTheme="minorEastAsia" w:hAnsiTheme="minorHAnsi" w:cstheme="minorBidi"/>
          <w:b/>
          <w:color w:val="auto"/>
          <w:sz w:val="28"/>
          <w:szCs w:val="28"/>
          <w:lang w:val="en-US"/>
        </w:rPr>
      </w:pPr>
    </w:p>
    <w:p w:rsidR="004D21CF" w:rsidRDefault="004D21CF" w:rsidP="000A2880">
      <w:pPr>
        <w:pStyle w:val="Default"/>
        <w:rPr>
          <w:rFonts w:asciiTheme="minorHAnsi" w:eastAsiaTheme="minorEastAsia" w:hAnsiTheme="minorHAnsi" w:cstheme="minorBidi"/>
          <w:b/>
          <w:color w:val="auto"/>
          <w:sz w:val="28"/>
          <w:szCs w:val="28"/>
          <w:lang w:val="en-US"/>
        </w:rPr>
      </w:pPr>
    </w:p>
    <w:p w:rsidR="004D21CF" w:rsidRDefault="004D21CF" w:rsidP="000A2880">
      <w:pPr>
        <w:pStyle w:val="Default"/>
        <w:rPr>
          <w:rFonts w:asciiTheme="minorHAnsi" w:eastAsiaTheme="minorEastAsia" w:hAnsiTheme="minorHAnsi" w:cstheme="minorBidi"/>
          <w:b/>
          <w:color w:val="auto"/>
          <w:sz w:val="28"/>
          <w:szCs w:val="28"/>
          <w:lang w:val="en-US"/>
        </w:rPr>
      </w:pPr>
    </w:p>
    <w:p w:rsidR="004D21CF" w:rsidRDefault="004D21CF" w:rsidP="000A2880">
      <w:pPr>
        <w:pStyle w:val="Default"/>
        <w:rPr>
          <w:rFonts w:asciiTheme="minorHAnsi" w:eastAsiaTheme="minorEastAsia" w:hAnsiTheme="minorHAnsi" w:cstheme="minorBidi"/>
          <w:b/>
          <w:color w:val="auto"/>
          <w:sz w:val="28"/>
          <w:szCs w:val="28"/>
          <w:lang w:val="en-US"/>
        </w:rPr>
      </w:pPr>
    </w:p>
    <w:p w:rsidR="004D21CF" w:rsidRDefault="004D21CF" w:rsidP="000A2880">
      <w:pPr>
        <w:pStyle w:val="Default"/>
        <w:rPr>
          <w:rFonts w:asciiTheme="minorHAnsi" w:eastAsiaTheme="minorEastAsia" w:hAnsiTheme="minorHAnsi" w:cstheme="minorBidi"/>
          <w:b/>
          <w:color w:val="auto"/>
          <w:sz w:val="28"/>
          <w:szCs w:val="28"/>
          <w:lang w:val="en-US"/>
        </w:rPr>
      </w:pPr>
    </w:p>
    <w:p w:rsidR="004D21CF" w:rsidRDefault="004D21CF" w:rsidP="000A2880">
      <w:pPr>
        <w:pStyle w:val="Default"/>
        <w:rPr>
          <w:rFonts w:asciiTheme="minorHAnsi" w:eastAsiaTheme="minorEastAsia" w:hAnsiTheme="minorHAnsi" w:cstheme="minorBidi"/>
          <w:b/>
          <w:color w:val="auto"/>
          <w:sz w:val="28"/>
          <w:szCs w:val="28"/>
          <w:lang w:val="en-US"/>
        </w:rPr>
      </w:pPr>
    </w:p>
    <w:p w:rsidR="00417BF9" w:rsidRPr="000A2880" w:rsidRDefault="00A91A32" w:rsidP="000A2880">
      <w:pPr>
        <w:pStyle w:val="Default"/>
        <w:rPr>
          <w:rFonts w:asciiTheme="minorHAnsi" w:eastAsiaTheme="minorEastAsia" w:hAnsiTheme="minorHAnsi" w:cstheme="minorBidi"/>
          <w:b/>
          <w:color w:val="auto"/>
          <w:sz w:val="28"/>
          <w:szCs w:val="28"/>
          <w:lang w:val="en-US"/>
        </w:rPr>
      </w:pPr>
      <w:r w:rsidRPr="00A91A32">
        <w:rPr>
          <w:rFonts w:asciiTheme="minorHAnsi" w:eastAsiaTheme="minorEastAsia" w:hAnsiTheme="minorHAnsi" w:cstheme="minorBidi"/>
          <w:b/>
          <w:color w:val="auto"/>
          <w:sz w:val="28"/>
          <w:szCs w:val="28"/>
          <w:lang w:val="en-US"/>
        </w:rPr>
        <w:t xml:space="preserve">Table </w:t>
      </w:r>
      <w:r w:rsidR="004D21CF">
        <w:rPr>
          <w:rFonts w:asciiTheme="minorHAnsi" w:eastAsiaTheme="minorEastAsia" w:hAnsiTheme="minorHAnsi" w:cstheme="minorBidi"/>
          <w:b/>
          <w:color w:val="auto"/>
          <w:sz w:val="28"/>
          <w:szCs w:val="28"/>
          <w:lang w:val="en-US"/>
        </w:rPr>
        <w:t>3</w:t>
      </w:r>
      <w:r w:rsidRPr="00A91A32">
        <w:rPr>
          <w:rFonts w:asciiTheme="minorHAnsi" w:eastAsiaTheme="minorEastAsia" w:hAnsiTheme="minorHAnsi" w:cstheme="minorBidi"/>
          <w:b/>
          <w:color w:val="auto"/>
          <w:sz w:val="28"/>
          <w:szCs w:val="28"/>
          <w:lang w:val="en-US"/>
        </w:rPr>
        <w:t xml:space="preserve">. </w:t>
      </w:r>
      <w:r w:rsidR="00417BF9" w:rsidRPr="00840B5D">
        <w:rPr>
          <w:b/>
          <w:sz w:val="28"/>
          <w:szCs w:val="28"/>
        </w:rPr>
        <w:t>Co-F</w:t>
      </w:r>
      <w:r w:rsidR="00417BF9">
        <w:rPr>
          <w:b/>
          <w:sz w:val="28"/>
          <w:szCs w:val="28"/>
        </w:rPr>
        <w:t>inancing Partners &amp; Budgets</w:t>
      </w:r>
    </w:p>
    <w:tbl>
      <w:tblPr>
        <w:tblStyle w:val="TableGrid"/>
        <w:tblW w:w="0" w:type="auto"/>
        <w:tblLook w:val="04A0" w:firstRow="1" w:lastRow="0" w:firstColumn="1" w:lastColumn="0" w:noHBand="0" w:noVBand="1"/>
      </w:tblPr>
      <w:tblGrid>
        <w:gridCol w:w="3116"/>
        <w:gridCol w:w="3117"/>
        <w:gridCol w:w="3117"/>
      </w:tblGrid>
      <w:tr w:rsidR="00417BF9" w:rsidTr="00A30225">
        <w:tc>
          <w:tcPr>
            <w:tcW w:w="3116" w:type="dxa"/>
          </w:tcPr>
          <w:p w:rsidR="00417BF9" w:rsidRPr="00D53AB2" w:rsidRDefault="00417BF9" w:rsidP="00A30225">
            <w:pPr>
              <w:rPr>
                <w:b/>
                <w:sz w:val="28"/>
                <w:szCs w:val="28"/>
              </w:rPr>
            </w:pPr>
            <w:r w:rsidRPr="00D53AB2">
              <w:rPr>
                <w:b/>
                <w:sz w:val="28"/>
                <w:szCs w:val="28"/>
              </w:rPr>
              <w:t>Co-Financing Partner</w:t>
            </w:r>
          </w:p>
        </w:tc>
        <w:tc>
          <w:tcPr>
            <w:tcW w:w="3117" w:type="dxa"/>
          </w:tcPr>
          <w:p w:rsidR="00417BF9" w:rsidRPr="00D53AB2" w:rsidRDefault="00417BF9" w:rsidP="00A30225">
            <w:pPr>
              <w:rPr>
                <w:b/>
                <w:sz w:val="28"/>
                <w:szCs w:val="28"/>
              </w:rPr>
            </w:pPr>
            <w:r w:rsidRPr="00D53AB2">
              <w:rPr>
                <w:b/>
                <w:sz w:val="28"/>
                <w:szCs w:val="28"/>
              </w:rPr>
              <w:t>Co-Financing Budget</w:t>
            </w:r>
          </w:p>
        </w:tc>
        <w:tc>
          <w:tcPr>
            <w:tcW w:w="3117" w:type="dxa"/>
          </w:tcPr>
          <w:p w:rsidR="00417BF9" w:rsidRPr="00D53AB2" w:rsidRDefault="00417BF9" w:rsidP="00A30225">
            <w:pPr>
              <w:rPr>
                <w:b/>
                <w:sz w:val="28"/>
                <w:szCs w:val="28"/>
              </w:rPr>
            </w:pPr>
            <w:r w:rsidRPr="00D53AB2">
              <w:rPr>
                <w:b/>
                <w:sz w:val="28"/>
                <w:szCs w:val="28"/>
              </w:rPr>
              <w:t>Expenditure to date</w:t>
            </w:r>
            <w:r>
              <w:rPr>
                <w:b/>
                <w:sz w:val="28"/>
                <w:szCs w:val="28"/>
              </w:rPr>
              <w:t>(September 2018)</w:t>
            </w:r>
          </w:p>
        </w:tc>
      </w:tr>
      <w:tr w:rsidR="00417BF9" w:rsidTr="00A30225">
        <w:tc>
          <w:tcPr>
            <w:tcW w:w="3116" w:type="dxa"/>
          </w:tcPr>
          <w:p w:rsidR="00417BF9" w:rsidRPr="00D004F1" w:rsidRDefault="00417BF9" w:rsidP="00A30225">
            <w:pPr>
              <w:rPr>
                <w:sz w:val="24"/>
                <w:szCs w:val="24"/>
              </w:rPr>
            </w:pPr>
            <w:r w:rsidRPr="00D004F1">
              <w:rPr>
                <w:sz w:val="24"/>
                <w:szCs w:val="24"/>
              </w:rPr>
              <w:t>Private Sector (Cash – Bethel)</w:t>
            </w:r>
          </w:p>
          <w:p w:rsidR="00417BF9" w:rsidRPr="00D53AB2" w:rsidRDefault="00417BF9" w:rsidP="00A30225">
            <w:pPr>
              <w:rPr>
                <w:sz w:val="24"/>
                <w:szCs w:val="24"/>
              </w:rPr>
            </w:pPr>
          </w:p>
        </w:tc>
        <w:tc>
          <w:tcPr>
            <w:tcW w:w="3117" w:type="dxa"/>
          </w:tcPr>
          <w:p w:rsidR="00417BF9" w:rsidRPr="00D53AB2" w:rsidRDefault="00417BF9" w:rsidP="00A30225">
            <w:pPr>
              <w:rPr>
                <w:sz w:val="24"/>
                <w:szCs w:val="24"/>
              </w:rPr>
            </w:pPr>
            <w:r>
              <w:rPr>
                <w:sz w:val="24"/>
                <w:szCs w:val="24"/>
              </w:rPr>
              <w:t>$2,000,000</w:t>
            </w:r>
          </w:p>
        </w:tc>
        <w:tc>
          <w:tcPr>
            <w:tcW w:w="3117" w:type="dxa"/>
          </w:tcPr>
          <w:p w:rsidR="00417BF9" w:rsidRPr="000A2880" w:rsidRDefault="00417BF9" w:rsidP="00A30225">
            <w:pPr>
              <w:rPr>
                <w:b/>
                <w:sz w:val="24"/>
                <w:szCs w:val="24"/>
              </w:rPr>
            </w:pPr>
            <w:r w:rsidRPr="000A2880">
              <w:rPr>
                <w:b/>
                <w:sz w:val="24"/>
                <w:szCs w:val="24"/>
              </w:rPr>
              <w:t>$33,041.2</w:t>
            </w:r>
          </w:p>
        </w:tc>
      </w:tr>
      <w:tr w:rsidR="00417BF9" w:rsidTr="00A30225">
        <w:tc>
          <w:tcPr>
            <w:tcW w:w="3116" w:type="dxa"/>
          </w:tcPr>
          <w:p w:rsidR="00417BF9" w:rsidRPr="00D004F1" w:rsidRDefault="00417BF9" w:rsidP="00A30225">
            <w:pPr>
              <w:rPr>
                <w:sz w:val="24"/>
                <w:szCs w:val="24"/>
              </w:rPr>
            </w:pPr>
            <w:r w:rsidRPr="00D004F1">
              <w:rPr>
                <w:sz w:val="24"/>
                <w:szCs w:val="24"/>
              </w:rPr>
              <w:t>Private Sector (In-kind LSES)</w:t>
            </w:r>
          </w:p>
          <w:p w:rsidR="00417BF9" w:rsidRPr="00D53AB2" w:rsidRDefault="00417BF9" w:rsidP="00A30225">
            <w:pPr>
              <w:rPr>
                <w:sz w:val="24"/>
                <w:szCs w:val="24"/>
              </w:rPr>
            </w:pPr>
          </w:p>
        </w:tc>
        <w:tc>
          <w:tcPr>
            <w:tcW w:w="3117" w:type="dxa"/>
          </w:tcPr>
          <w:p w:rsidR="00417BF9" w:rsidRPr="00D53AB2" w:rsidRDefault="00417BF9" w:rsidP="00A30225">
            <w:pPr>
              <w:rPr>
                <w:sz w:val="24"/>
                <w:szCs w:val="24"/>
              </w:rPr>
            </w:pPr>
            <w:r>
              <w:rPr>
                <w:sz w:val="24"/>
                <w:szCs w:val="24"/>
              </w:rPr>
              <w:t>$500,000</w:t>
            </w:r>
          </w:p>
        </w:tc>
        <w:tc>
          <w:tcPr>
            <w:tcW w:w="3117" w:type="dxa"/>
          </w:tcPr>
          <w:p w:rsidR="00417BF9" w:rsidRPr="00D53AB2" w:rsidRDefault="00417BF9" w:rsidP="00A30225">
            <w:pPr>
              <w:rPr>
                <w:sz w:val="24"/>
                <w:szCs w:val="24"/>
              </w:rPr>
            </w:pPr>
            <w:r>
              <w:rPr>
                <w:sz w:val="24"/>
                <w:szCs w:val="24"/>
              </w:rPr>
              <w:t>-</w:t>
            </w:r>
          </w:p>
        </w:tc>
      </w:tr>
      <w:tr w:rsidR="00417BF9" w:rsidTr="00A30225">
        <w:tc>
          <w:tcPr>
            <w:tcW w:w="3116" w:type="dxa"/>
          </w:tcPr>
          <w:p w:rsidR="00417BF9" w:rsidRPr="00D004F1" w:rsidRDefault="00417BF9" w:rsidP="00A30225">
            <w:pPr>
              <w:rPr>
                <w:sz w:val="24"/>
                <w:szCs w:val="24"/>
              </w:rPr>
            </w:pPr>
            <w:r w:rsidRPr="00D004F1">
              <w:rPr>
                <w:sz w:val="24"/>
                <w:szCs w:val="24"/>
              </w:rPr>
              <w:t>Government (Cash)</w:t>
            </w:r>
          </w:p>
          <w:p w:rsidR="00417BF9" w:rsidRPr="00D53AB2" w:rsidRDefault="00417BF9" w:rsidP="00A30225">
            <w:pPr>
              <w:rPr>
                <w:sz w:val="24"/>
                <w:szCs w:val="24"/>
              </w:rPr>
            </w:pPr>
          </w:p>
        </w:tc>
        <w:tc>
          <w:tcPr>
            <w:tcW w:w="3117" w:type="dxa"/>
          </w:tcPr>
          <w:p w:rsidR="00417BF9" w:rsidRPr="00D53AB2" w:rsidRDefault="00417BF9" w:rsidP="00A30225">
            <w:pPr>
              <w:rPr>
                <w:sz w:val="24"/>
                <w:szCs w:val="24"/>
              </w:rPr>
            </w:pPr>
            <w:r>
              <w:rPr>
                <w:sz w:val="24"/>
                <w:szCs w:val="24"/>
              </w:rPr>
              <w:t>$8,467,837</w:t>
            </w:r>
          </w:p>
        </w:tc>
        <w:tc>
          <w:tcPr>
            <w:tcW w:w="3117" w:type="dxa"/>
          </w:tcPr>
          <w:p w:rsidR="00417BF9" w:rsidRPr="00512719" w:rsidRDefault="00417BF9" w:rsidP="00A30225">
            <w:pPr>
              <w:rPr>
                <w:rFonts w:cstheme="minorHAnsi"/>
                <w:sz w:val="24"/>
                <w:szCs w:val="24"/>
              </w:rPr>
            </w:pPr>
            <w:r w:rsidRPr="00512719">
              <w:rPr>
                <w:rFonts w:eastAsia="Times New Roman" w:cstheme="minorHAnsi"/>
                <w:b/>
                <w:bCs/>
                <w:sz w:val="24"/>
                <w:szCs w:val="24"/>
              </w:rPr>
              <w:t>$114,382</w:t>
            </w:r>
          </w:p>
        </w:tc>
      </w:tr>
      <w:tr w:rsidR="00417BF9" w:rsidTr="00A30225">
        <w:tc>
          <w:tcPr>
            <w:tcW w:w="3116" w:type="dxa"/>
          </w:tcPr>
          <w:p w:rsidR="00417BF9" w:rsidRPr="00D004F1" w:rsidRDefault="00417BF9" w:rsidP="00A30225">
            <w:pPr>
              <w:rPr>
                <w:sz w:val="24"/>
                <w:szCs w:val="24"/>
              </w:rPr>
            </w:pPr>
            <w:r w:rsidRPr="00D004F1">
              <w:rPr>
                <w:sz w:val="24"/>
                <w:szCs w:val="24"/>
              </w:rPr>
              <w:t>European Union</w:t>
            </w:r>
          </w:p>
          <w:p w:rsidR="00417BF9" w:rsidRPr="00D53AB2" w:rsidRDefault="00417BF9" w:rsidP="00A30225">
            <w:pPr>
              <w:pStyle w:val="ListParagraph"/>
              <w:rPr>
                <w:sz w:val="24"/>
                <w:szCs w:val="24"/>
              </w:rPr>
            </w:pPr>
          </w:p>
        </w:tc>
        <w:tc>
          <w:tcPr>
            <w:tcW w:w="3117" w:type="dxa"/>
          </w:tcPr>
          <w:p w:rsidR="00417BF9" w:rsidRPr="00D53AB2" w:rsidRDefault="00417BF9" w:rsidP="00A30225">
            <w:pPr>
              <w:rPr>
                <w:sz w:val="24"/>
                <w:szCs w:val="24"/>
              </w:rPr>
            </w:pPr>
            <w:r>
              <w:rPr>
                <w:sz w:val="24"/>
                <w:szCs w:val="24"/>
              </w:rPr>
              <w:t>$7,900,000</w:t>
            </w:r>
          </w:p>
        </w:tc>
        <w:tc>
          <w:tcPr>
            <w:tcW w:w="3117" w:type="dxa"/>
          </w:tcPr>
          <w:p w:rsidR="00417BF9" w:rsidRPr="00512719" w:rsidRDefault="00417BF9" w:rsidP="00A30225">
            <w:pPr>
              <w:rPr>
                <w:b/>
                <w:sz w:val="24"/>
                <w:szCs w:val="24"/>
              </w:rPr>
            </w:pPr>
            <w:r w:rsidRPr="00512719">
              <w:rPr>
                <w:b/>
                <w:sz w:val="24"/>
                <w:szCs w:val="24"/>
              </w:rPr>
              <w:t>$4,743,006</w:t>
            </w:r>
          </w:p>
        </w:tc>
      </w:tr>
      <w:tr w:rsidR="00417BF9" w:rsidTr="00A30225">
        <w:tc>
          <w:tcPr>
            <w:tcW w:w="3116" w:type="dxa"/>
          </w:tcPr>
          <w:p w:rsidR="00417BF9" w:rsidRPr="00D004F1" w:rsidRDefault="00417BF9" w:rsidP="00A30225">
            <w:pPr>
              <w:rPr>
                <w:b/>
                <w:sz w:val="24"/>
                <w:szCs w:val="24"/>
              </w:rPr>
            </w:pPr>
            <w:r w:rsidRPr="00D004F1">
              <w:rPr>
                <w:b/>
                <w:sz w:val="24"/>
                <w:szCs w:val="24"/>
              </w:rPr>
              <w:t xml:space="preserve">Total co-financing </w:t>
            </w:r>
          </w:p>
          <w:p w:rsidR="00417BF9" w:rsidRPr="00D004F1" w:rsidRDefault="00417BF9" w:rsidP="00A30225">
            <w:pPr>
              <w:rPr>
                <w:b/>
                <w:sz w:val="24"/>
                <w:szCs w:val="24"/>
              </w:rPr>
            </w:pPr>
          </w:p>
        </w:tc>
        <w:tc>
          <w:tcPr>
            <w:tcW w:w="3117" w:type="dxa"/>
          </w:tcPr>
          <w:p w:rsidR="00417BF9" w:rsidRPr="00D004F1" w:rsidRDefault="00417BF9" w:rsidP="00A30225">
            <w:pPr>
              <w:rPr>
                <w:b/>
                <w:sz w:val="24"/>
                <w:szCs w:val="24"/>
              </w:rPr>
            </w:pPr>
            <w:r w:rsidRPr="00D004F1">
              <w:rPr>
                <w:b/>
                <w:sz w:val="24"/>
                <w:szCs w:val="24"/>
              </w:rPr>
              <w:t>18,867,837</w:t>
            </w:r>
          </w:p>
        </w:tc>
        <w:tc>
          <w:tcPr>
            <w:tcW w:w="3117" w:type="dxa"/>
          </w:tcPr>
          <w:p w:rsidR="00417BF9" w:rsidRPr="00D53AB2" w:rsidRDefault="00417BF9" w:rsidP="00A30225">
            <w:pPr>
              <w:rPr>
                <w:sz w:val="24"/>
                <w:szCs w:val="24"/>
              </w:rPr>
            </w:pPr>
          </w:p>
        </w:tc>
      </w:tr>
    </w:tbl>
    <w:p w:rsidR="000A2880" w:rsidRDefault="000A2880" w:rsidP="00696D3D">
      <w:pPr>
        <w:pStyle w:val="Default"/>
        <w:rPr>
          <w:rFonts w:asciiTheme="minorHAnsi" w:eastAsiaTheme="minorEastAsia" w:hAnsiTheme="minorHAnsi" w:cstheme="minorBidi"/>
          <w:color w:val="auto"/>
          <w:sz w:val="22"/>
          <w:szCs w:val="22"/>
          <w:lang w:val="en-US"/>
        </w:rPr>
      </w:pPr>
    </w:p>
    <w:p w:rsidR="000A2880" w:rsidRDefault="000A2880" w:rsidP="00696D3D">
      <w:pPr>
        <w:pStyle w:val="Default"/>
        <w:rPr>
          <w:rFonts w:asciiTheme="minorHAnsi" w:eastAsiaTheme="minorEastAsia" w:hAnsiTheme="minorHAnsi" w:cstheme="minorBidi"/>
          <w:color w:val="auto"/>
          <w:sz w:val="22"/>
          <w:szCs w:val="22"/>
          <w:lang w:val="en-US"/>
        </w:rPr>
      </w:pPr>
    </w:p>
    <w:p w:rsidR="000A2880" w:rsidRDefault="000A2880" w:rsidP="00696D3D">
      <w:pPr>
        <w:pStyle w:val="Default"/>
        <w:rPr>
          <w:rFonts w:asciiTheme="minorHAnsi" w:eastAsiaTheme="minorEastAsia" w:hAnsiTheme="minorHAnsi" w:cstheme="minorBidi"/>
          <w:color w:val="auto"/>
          <w:sz w:val="22"/>
          <w:szCs w:val="22"/>
          <w:lang w:val="en-US"/>
        </w:rPr>
      </w:pPr>
    </w:p>
    <w:p w:rsidR="00696D3D" w:rsidRPr="004C402D" w:rsidRDefault="00696D3D" w:rsidP="00696D3D">
      <w:pPr>
        <w:pStyle w:val="Default"/>
        <w:rPr>
          <w:rFonts w:ascii="Times New Roman" w:hAnsi="Times New Roman" w:cs="Times New Roman"/>
        </w:rPr>
      </w:pPr>
      <w:r w:rsidRPr="004C402D">
        <w:rPr>
          <w:rFonts w:ascii="Times New Roman" w:hAnsi="Times New Roman" w:cs="Times New Roman"/>
          <w:b/>
          <w:bCs/>
        </w:rPr>
        <w:t xml:space="preserve">RISK MANAGEMENT </w:t>
      </w:r>
    </w:p>
    <w:p w:rsidR="00696D3D" w:rsidRDefault="00696D3D" w:rsidP="00696D3D">
      <w:pPr>
        <w:rPr>
          <w:rFonts w:ascii="Times New Roman" w:hAnsi="Times New Roman"/>
          <w:sz w:val="24"/>
        </w:rPr>
      </w:pPr>
      <w:r w:rsidRPr="004C402D">
        <w:rPr>
          <w:rFonts w:ascii="Times New Roman" w:hAnsi="Times New Roman"/>
          <w:sz w:val="24"/>
        </w:rPr>
        <w:t>T</w:t>
      </w:r>
      <w:r w:rsidRPr="004C402D">
        <w:rPr>
          <w:rFonts w:ascii="Times New Roman" w:hAnsi="Times New Roman"/>
          <w:bCs/>
          <w:sz w:val="24"/>
        </w:rPr>
        <w:t>his section can be used to update or use the risk logs developed during the project development stage and provide any mitigation measures being undertaken by the project</w:t>
      </w:r>
      <w:r w:rsidRPr="004C402D">
        <w:rPr>
          <w:rFonts w:ascii="Times New Roman" w:hAnsi="Times New Roman"/>
          <w:sz w:val="24"/>
        </w:rPr>
        <w:t>.</w:t>
      </w:r>
    </w:p>
    <w:tbl>
      <w:tblPr>
        <w:tblStyle w:val="TableGrid"/>
        <w:tblW w:w="0" w:type="auto"/>
        <w:tblLook w:val="04A0" w:firstRow="1" w:lastRow="0" w:firstColumn="1" w:lastColumn="0" w:noHBand="0" w:noVBand="1"/>
      </w:tblPr>
      <w:tblGrid>
        <w:gridCol w:w="3402"/>
        <w:gridCol w:w="3572"/>
        <w:gridCol w:w="3033"/>
      </w:tblGrid>
      <w:tr w:rsidR="00696D3D" w:rsidTr="00D44F6A">
        <w:tc>
          <w:tcPr>
            <w:tcW w:w="4639" w:type="dxa"/>
            <w:shd w:val="clear" w:color="auto" w:fill="365F91" w:themeFill="accent1" w:themeFillShade="BF"/>
          </w:tcPr>
          <w:p w:rsidR="00696D3D" w:rsidRPr="007B384B" w:rsidRDefault="00696D3D" w:rsidP="00D44F6A">
            <w:pPr>
              <w:pStyle w:val="Default"/>
              <w:jc w:val="both"/>
              <w:rPr>
                <w:rFonts w:ascii="Times New Roman" w:hAnsi="Times New Roman" w:cs="Times New Roman"/>
                <w:sz w:val="22"/>
                <w:szCs w:val="22"/>
              </w:rPr>
            </w:pPr>
            <w:r w:rsidRPr="007B384B">
              <w:rPr>
                <w:rFonts w:ascii="Times New Roman" w:hAnsi="Times New Roman" w:cs="Times New Roman"/>
                <w:b/>
                <w:bCs/>
                <w:color w:val="FFFFFF" w:themeColor="background1"/>
                <w:sz w:val="22"/>
                <w:szCs w:val="22"/>
              </w:rPr>
              <w:t xml:space="preserve">Type of Risk </w:t>
            </w:r>
          </w:p>
        </w:tc>
        <w:tc>
          <w:tcPr>
            <w:tcW w:w="4637" w:type="dxa"/>
            <w:shd w:val="clear" w:color="auto" w:fill="365F91" w:themeFill="accent1" w:themeFillShade="BF"/>
          </w:tcPr>
          <w:p w:rsidR="00696D3D" w:rsidRPr="007B384B" w:rsidRDefault="00696D3D" w:rsidP="00D44F6A">
            <w:pPr>
              <w:pStyle w:val="Default"/>
              <w:jc w:val="both"/>
              <w:rPr>
                <w:rFonts w:ascii="Times New Roman" w:hAnsi="Times New Roman" w:cs="Times New Roman"/>
                <w:color w:val="FFFFFF" w:themeColor="background1"/>
                <w:sz w:val="22"/>
                <w:szCs w:val="22"/>
              </w:rPr>
            </w:pPr>
            <w:r w:rsidRPr="007B384B">
              <w:rPr>
                <w:rFonts w:ascii="Times New Roman" w:hAnsi="Times New Roman" w:cs="Times New Roman"/>
                <w:b/>
                <w:bCs/>
                <w:color w:val="FFFFFF" w:themeColor="background1"/>
                <w:sz w:val="22"/>
                <w:szCs w:val="22"/>
              </w:rPr>
              <w:t xml:space="preserve">Description of Risk </w:t>
            </w:r>
          </w:p>
        </w:tc>
        <w:tc>
          <w:tcPr>
            <w:tcW w:w="4638" w:type="dxa"/>
            <w:shd w:val="clear" w:color="auto" w:fill="365F91" w:themeFill="accent1" w:themeFillShade="BF"/>
          </w:tcPr>
          <w:p w:rsidR="00696D3D" w:rsidRPr="007B384B" w:rsidRDefault="00696D3D" w:rsidP="00D44F6A">
            <w:pPr>
              <w:pStyle w:val="Default"/>
              <w:jc w:val="both"/>
              <w:rPr>
                <w:rFonts w:ascii="Times New Roman" w:hAnsi="Times New Roman" w:cs="Times New Roman"/>
                <w:color w:val="FFFFFF" w:themeColor="background1"/>
                <w:sz w:val="22"/>
                <w:szCs w:val="22"/>
              </w:rPr>
            </w:pPr>
            <w:r w:rsidRPr="007B384B">
              <w:rPr>
                <w:rFonts w:ascii="Times New Roman" w:hAnsi="Times New Roman" w:cs="Times New Roman"/>
                <w:b/>
                <w:bCs/>
                <w:color w:val="FFFFFF" w:themeColor="background1"/>
                <w:sz w:val="22"/>
                <w:szCs w:val="22"/>
              </w:rPr>
              <w:t xml:space="preserve">Mitigating Measures </w:t>
            </w:r>
          </w:p>
        </w:tc>
      </w:tr>
      <w:tr w:rsidR="00696D3D" w:rsidTr="00D44F6A">
        <w:tc>
          <w:tcPr>
            <w:tcW w:w="4639" w:type="dxa"/>
            <w:shd w:val="clear" w:color="auto" w:fill="FFFFFF" w:themeFill="background1"/>
          </w:tcPr>
          <w:p w:rsidR="00696D3D" w:rsidRPr="007B384B" w:rsidRDefault="00696D3D" w:rsidP="00D44F6A">
            <w:pPr>
              <w:rPr>
                <w:rFonts w:ascii="Times New Roman" w:hAnsi="Times New Roman"/>
                <w:b/>
              </w:rPr>
            </w:pPr>
            <w:r>
              <w:rPr>
                <w:rFonts w:ascii="Times New Roman" w:hAnsi="Times New Roman"/>
                <w:b/>
              </w:rPr>
              <w:t xml:space="preserve">Financial: </w:t>
            </w:r>
            <w:r w:rsidR="00DC5D35">
              <w:rPr>
                <w:rFonts w:ascii="Times New Roman" w:hAnsi="Times New Roman"/>
              </w:rPr>
              <w:t>If h</w:t>
            </w:r>
            <w:r w:rsidRPr="001945D5">
              <w:rPr>
                <w:rFonts w:ascii="Times New Roman" w:hAnsi="Times New Roman"/>
              </w:rPr>
              <w:t>ost of Financial Support Scheme (FSS)</w:t>
            </w:r>
            <w:r w:rsidR="000221D0">
              <w:rPr>
                <w:rFonts w:ascii="Times New Roman" w:hAnsi="Times New Roman"/>
              </w:rPr>
              <w:t xml:space="preserve"> is not identified or recruited, </w:t>
            </w:r>
            <w:r>
              <w:rPr>
                <w:rFonts w:ascii="Times New Roman" w:hAnsi="Times New Roman"/>
              </w:rPr>
              <w:t>this may hamper the implementation of mini-grids and Energy Centres, the core business of this project</w:t>
            </w:r>
          </w:p>
        </w:tc>
        <w:tc>
          <w:tcPr>
            <w:tcW w:w="4637" w:type="dxa"/>
          </w:tcPr>
          <w:p w:rsidR="00C56ACE" w:rsidRPr="00C56ACE" w:rsidRDefault="00C56ACE" w:rsidP="00C56ACE">
            <w:pPr>
              <w:spacing w:after="160" w:line="259" w:lineRule="auto"/>
              <w:jc w:val="both"/>
              <w:rPr>
                <w:rFonts w:ascii="Times New Roman" w:hAnsi="Times New Roman"/>
              </w:rPr>
            </w:pPr>
            <w:r w:rsidRPr="00C56ACE">
              <w:rPr>
                <w:rFonts w:ascii="Times New Roman" w:hAnsi="Times New Roman"/>
                <w:b/>
              </w:rPr>
              <w:t>Financial:</w:t>
            </w:r>
            <w:r w:rsidRPr="00C56ACE">
              <w:rPr>
                <w:rFonts w:ascii="Times New Roman" w:hAnsi="Times New Roman"/>
              </w:rPr>
              <w:t xml:space="preserve"> The FSS host has been identified, but agreement has not been signed </w:t>
            </w:r>
            <w:r>
              <w:rPr>
                <w:rFonts w:ascii="Times New Roman" w:hAnsi="Times New Roman"/>
              </w:rPr>
              <w:t xml:space="preserve">between UNDP and </w:t>
            </w:r>
            <w:r w:rsidRPr="00C56ACE">
              <w:rPr>
                <w:rFonts w:ascii="Times New Roman" w:hAnsi="Times New Roman"/>
              </w:rPr>
              <w:t xml:space="preserve">UNCDF, therefore the risk still stands.  </w:t>
            </w:r>
          </w:p>
          <w:p w:rsidR="00C56ACE" w:rsidRPr="00A81605" w:rsidRDefault="00C56ACE" w:rsidP="00C56ACE">
            <w:pPr>
              <w:pStyle w:val="ListParagraph"/>
              <w:spacing w:after="160" w:line="259" w:lineRule="auto"/>
              <w:ind w:left="2355"/>
              <w:jc w:val="both"/>
              <w:rPr>
                <w:rFonts w:ascii="Times New Roman" w:hAnsi="Times New Roman"/>
              </w:rPr>
            </w:pPr>
          </w:p>
          <w:p w:rsidR="00696D3D" w:rsidRPr="007B384B" w:rsidRDefault="00696D3D" w:rsidP="00D44F6A">
            <w:pPr>
              <w:rPr>
                <w:rFonts w:ascii="Times New Roman" w:hAnsi="Times New Roman"/>
              </w:rPr>
            </w:pPr>
          </w:p>
        </w:tc>
        <w:tc>
          <w:tcPr>
            <w:tcW w:w="4638" w:type="dxa"/>
          </w:tcPr>
          <w:p w:rsidR="00696D3D" w:rsidRDefault="00C56ACE" w:rsidP="00D44F6A">
            <w:pPr>
              <w:rPr>
                <w:rFonts w:ascii="Times New Roman" w:hAnsi="Times New Roman"/>
                <w:sz w:val="20"/>
                <w:szCs w:val="20"/>
              </w:rPr>
            </w:pPr>
            <w:r>
              <w:rPr>
                <w:rFonts w:ascii="Times New Roman" w:hAnsi="Times New Roman"/>
                <w:sz w:val="20"/>
                <w:szCs w:val="20"/>
              </w:rPr>
              <w:t>UNDP will have a meeting with the Minister of Energy and Meteorology – This will be the final meeting with Government before the agreement is signed.</w:t>
            </w:r>
          </w:p>
        </w:tc>
      </w:tr>
      <w:tr w:rsidR="00696D3D" w:rsidTr="00D44F6A">
        <w:tc>
          <w:tcPr>
            <w:tcW w:w="4639" w:type="dxa"/>
            <w:shd w:val="clear" w:color="auto" w:fill="FFFFFF" w:themeFill="background1"/>
          </w:tcPr>
          <w:p w:rsidR="00696D3D" w:rsidRPr="007B384B" w:rsidRDefault="00696D3D" w:rsidP="00D44F6A">
            <w:pPr>
              <w:rPr>
                <w:rFonts w:ascii="Times New Roman" w:hAnsi="Times New Roman"/>
                <w:b/>
              </w:rPr>
            </w:pPr>
            <w:r>
              <w:rPr>
                <w:rFonts w:ascii="Times New Roman" w:hAnsi="Times New Roman"/>
                <w:b/>
              </w:rPr>
              <w:t xml:space="preserve">Operational: </w:t>
            </w:r>
            <w:r w:rsidRPr="00130B3C">
              <w:rPr>
                <w:rFonts w:ascii="Times New Roman" w:hAnsi="Times New Roman"/>
              </w:rPr>
              <w:t>The lack of office space for the project team in the MEM may affect the smooth operation of the project</w:t>
            </w:r>
          </w:p>
        </w:tc>
        <w:tc>
          <w:tcPr>
            <w:tcW w:w="4637" w:type="dxa"/>
          </w:tcPr>
          <w:p w:rsidR="00C56ACE" w:rsidRPr="00C56ACE" w:rsidRDefault="00C56ACE" w:rsidP="00C56ACE">
            <w:pPr>
              <w:rPr>
                <w:rFonts w:ascii="Times New Roman" w:hAnsi="Times New Roman"/>
              </w:rPr>
            </w:pPr>
            <w:r w:rsidRPr="00C56ACE">
              <w:rPr>
                <w:rFonts w:ascii="Times New Roman" w:hAnsi="Times New Roman"/>
              </w:rPr>
              <w:t>The lack of office space for the project team in the MEM affects the smooth operation of the project</w:t>
            </w:r>
          </w:p>
          <w:p w:rsidR="00696D3D" w:rsidRPr="007B384B" w:rsidRDefault="00696D3D" w:rsidP="00D44F6A">
            <w:pPr>
              <w:rPr>
                <w:rFonts w:ascii="Times New Roman" w:hAnsi="Times New Roman"/>
              </w:rPr>
            </w:pPr>
          </w:p>
        </w:tc>
        <w:tc>
          <w:tcPr>
            <w:tcW w:w="4638" w:type="dxa"/>
          </w:tcPr>
          <w:p w:rsidR="00C56ACE" w:rsidRPr="00C56ACE" w:rsidRDefault="00C56ACE" w:rsidP="00C56ACE">
            <w:pPr>
              <w:rPr>
                <w:rFonts w:ascii="Times New Roman" w:hAnsi="Times New Roman"/>
                <w:b/>
              </w:rPr>
            </w:pPr>
            <w:r w:rsidRPr="00C56ACE">
              <w:rPr>
                <w:rFonts w:ascii="Times New Roman" w:hAnsi="Times New Roman"/>
              </w:rPr>
              <w:t>Refurbishment of the Old Agric. Bank building will create space for the project, as DOE will occupy one floor</w:t>
            </w:r>
            <w:r w:rsidRPr="00C56ACE">
              <w:rPr>
                <w:rFonts w:ascii="Times New Roman" w:hAnsi="Times New Roman"/>
                <w:b/>
              </w:rPr>
              <w:t>.</w:t>
            </w:r>
          </w:p>
          <w:p w:rsidR="00696D3D" w:rsidRDefault="00696D3D" w:rsidP="00D44F6A">
            <w:pPr>
              <w:rPr>
                <w:rFonts w:ascii="Times New Roman" w:hAnsi="Times New Roman"/>
                <w:sz w:val="20"/>
                <w:szCs w:val="20"/>
              </w:rPr>
            </w:pPr>
          </w:p>
        </w:tc>
      </w:tr>
      <w:tr w:rsidR="00166569" w:rsidTr="00D44F6A">
        <w:tc>
          <w:tcPr>
            <w:tcW w:w="4639" w:type="dxa"/>
            <w:shd w:val="clear" w:color="auto" w:fill="FFFFFF" w:themeFill="background1"/>
          </w:tcPr>
          <w:p w:rsidR="00166569" w:rsidRPr="00166569" w:rsidRDefault="00166569" w:rsidP="00166569">
            <w:pPr>
              <w:jc w:val="both"/>
              <w:rPr>
                <w:rFonts w:ascii="Times New Roman" w:hAnsi="Times New Roman"/>
                <w:sz w:val="24"/>
                <w:szCs w:val="24"/>
                <w:lang w:val="en-GB"/>
              </w:rPr>
            </w:pPr>
            <w:r w:rsidRPr="00166569">
              <w:rPr>
                <w:rFonts w:ascii="Times New Roman" w:hAnsi="Times New Roman"/>
                <w:sz w:val="24"/>
                <w:szCs w:val="24"/>
              </w:rPr>
              <w:t>T</w:t>
            </w:r>
            <w:r w:rsidRPr="00166569">
              <w:rPr>
                <w:rFonts w:ascii="Times New Roman" w:hAnsi="Times New Roman"/>
                <w:b/>
                <w:bCs/>
                <w:sz w:val="24"/>
                <w:szCs w:val="24"/>
              </w:rPr>
              <w:t>echnical:</w:t>
            </w:r>
            <w:r w:rsidRPr="00166569">
              <w:rPr>
                <w:rFonts w:ascii="Times New Roman" w:hAnsi="Times New Roman"/>
                <w:sz w:val="24"/>
                <w:szCs w:val="24"/>
                <w:lang w:val="en-GB"/>
              </w:rPr>
              <w:t xml:space="preserve"> With two very similar programmes (UNDP/GEF and EU energy shops) implemented at the same time and possibly in the same districts, there could be overlaps with regards to selected sites and operators. There could possibly be competition between the two programmes, which may impact negatively on the customers and the market. </w:t>
            </w:r>
          </w:p>
        </w:tc>
        <w:tc>
          <w:tcPr>
            <w:tcW w:w="4637" w:type="dxa"/>
          </w:tcPr>
          <w:p w:rsidR="00166569" w:rsidRPr="00C56ACE" w:rsidRDefault="00166569" w:rsidP="00166569">
            <w:pPr>
              <w:rPr>
                <w:rFonts w:ascii="Times New Roman" w:hAnsi="Times New Roman"/>
              </w:rPr>
            </w:pPr>
            <w:r>
              <w:rPr>
                <w:rFonts w:ascii="Times New Roman" w:hAnsi="Times New Roman"/>
                <w:sz w:val="24"/>
                <w:szCs w:val="24"/>
                <w:lang w:val="en-GB"/>
              </w:rPr>
              <w:t xml:space="preserve">A possible </w:t>
            </w:r>
            <w:r w:rsidRPr="00166569">
              <w:rPr>
                <w:rFonts w:ascii="Times New Roman" w:hAnsi="Times New Roman"/>
                <w:sz w:val="24"/>
                <w:szCs w:val="24"/>
                <w:lang w:val="en-GB"/>
              </w:rPr>
              <w:t>competition between the two programmes</w:t>
            </w:r>
            <w:r>
              <w:rPr>
                <w:rFonts w:ascii="Times New Roman" w:hAnsi="Times New Roman"/>
                <w:sz w:val="24"/>
                <w:szCs w:val="24"/>
                <w:lang w:val="en-GB"/>
              </w:rPr>
              <w:t xml:space="preserve"> (EU &amp; UNDP/GEF) </w:t>
            </w:r>
            <w:r w:rsidRPr="00166569">
              <w:rPr>
                <w:rFonts w:ascii="Times New Roman" w:hAnsi="Times New Roman"/>
                <w:sz w:val="24"/>
                <w:szCs w:val="24"/>
                <w:lang w:val="en-GB"/>
              </w:rPr>
              <w:t>which may impact negatively on the customers and the market.</w:t>
            </w:r>
          </w:p>
        </w:tc>
        <w:tc>
          <w:tcPr>
            <w:tcW w:w="4638" w:type="dxa"/>
          </w:tcPr>
          <w:p w:rsidR="00166569" w:rsidRPr="003223AE" w:rsidRDefault="00166569" w:rsidP="00166569">
            <w:pPr>
              <w:jc w:val="both"/>
              <w:rPr>
                <w:rFonts w:ascii="Times New Roman" w:hAnsi="Times New Roman"/>
                <w:sz w:val="24"/>
                <w:szCs w:val="24"/>
              </w:rPr>
            </w:pPr>
            <w:r w:rsidRPr="003223AE">
              <w:rPr>
                <w:rFonts w:ascii="Times New Roman" w:hAnsi="Times New Roman"/>
                <w:sz w:val="24"/>
                <w:szCs w:val="24"/>
              </w:rPr>
              <w:t xml:space="preserve">Engagement between the two </w:t>
            </w:r>
            <w:r>
              <w:rPr>
                <w:rFonts w:ascii="Times New Roman" w:hAnsi="Times New Roman"/>
                <w:sz w:val="24"/>
                <w:szCs w:val="24"/>
              </w:rPr>
              <w:t>organisations</w:t>
            </w:r>
            <w:r w:rsidRPr="003223AE">
              <w:rPr>
                <w:rFonts w:ascii="Times New Roman" w:hAnsi="Times New Roman"/>
                <w:sz w:val="24"/>
                <w:szCs w:val="24"/>
              </w:rPr>
              <w:t xml:space="preserve"> and DOE is on-going</w:t>
            </w:r>
            <w:r>
              <w:rPr>
                <w:rFonts w:ascii="Times New Roman" w:hAnsi="Times New Roman"/>
                <w:sz w:val="24"/>
                <w:szCs w:val="24"/>
              </w:rPr>
              <w:t>.</w:t>
            </w:r>
          </w:p>
          <w:p w:rsidR="00166569" w:rsidRPr="00C56ACE" w:rsidRDefault="00166569" w:rsidP="00C56ACE">
            <w:pPr>
              <w:rPr>
                <w:rFonts w:ascii="Times New Roman" w:hAnsi="Times New Roman"/>
              </w:rPr>
            </w:pPr>
          </w:p>
        </w:tc>
      </w:tr>
      <w:tr w:rsidR="00696D3D" w:rsidTr="00D44F6A">
        <w:tc>
          <w:tcPr>
            <w:tcW w:w="4639" w:type="dxa"/>
            <w:shd w:val="clear" w:color="auto" w:fill="FFFFFF" w:themeFill="background1"/>
          </w:tcPr>
          <w:p w:rsidR="00696D3D" w:rsidRPr="007B384B" w:rsidRDefault="00696D3D" w:rsidP="00D44F6A">
            <w:pPr>
              <w:rPr>
                <w:rFonts w:ascii="Times New Roman" w:hAnsi="Times New Roman"/>
                <w:color w:val="365F91" w:themeColor="accent1" w:themeShade="BF"/>
              </w:rPr>
            </w:pPr>
            <w:r w:rsidRPr="007B384B">
              <w:rPr>
                <w:rFonts w:ascii="Times New Roman" w:hAnsi="Times New Roman"/>
                <w:b/>
              </w:rPr>
              <w:lastRenderedPageBreak/>
              <w:t>Policy:</w:t>
            </w:r>
            <w:r w:rsidRPr="007B384B">
              <w:rPr>
                <w:rFonts w:ascii="Times New Roman" w:hAnsi="Times New Roman"/>
              </w:rPr>
              <w:t xml:space="preserve"> </w:t>
            </w:r>
            <w:r w:rsidRPr="007B384B">
              <w:rPr>
                <w:rFonts w:ascii="Times New Roman" w:hAnsi="Times New Roman"/>
                <w:color w:val="000000"/>
                <w:lang w:eastAsia="uk-UA"/>
              </w:rPr>
              <w:t>Framework to encourage the private sector to invest in renewable energy-based rural energy services.</w:t>
            </w:r>
          </w:p>
        </w:tc>
        <w:tc>
          <w:tcPr>
            <w:tcW w:w="4637" w:type="dxa"/>
          </w:tcPr>
          <w:p w:rsidR="00696D3D" w:rsidRPr="007B384B" w:rsidRDefault="00696D3D" w:rsidP="00D44F6A">
            <w:pPr>
              <w:rPr>
                <w:rFonts w:ascii="Times New Roman" w:hAnsi="Times New Roman"/>
                <w:color w:val="365F91" w:themeColor="accent1" w:themeShade="BF"/>
              </w:rPr>
            </w:pPr>
            <w:r w:rsidRPr="007B384B">
              <w:rPr>
                <w:rFonts w:ascii="Times New Roman" w:hAnsi="Times New Roman"/>
              </w:rPr>
              <w:t>There exists the possibility that the Government may not act soon enough on a policy framework that will encourage the private sector to invest in renewable energy-based rural energy services;</w:t>
            </w:r>
            <w:r>
              <w:rPr>
                <w:rFonts w:ascii="Times New Roman" w:hAnsi="Times New Roman"/>
              </w:rPr>
              <w:t xml:space="preserve"> i</w:t>
            </w:r>
            <w:r w:rsidRPr="000737C3">
              <w:rPr>
                <w:rFonts w:ascii="Times New Roman" w:hAnsi="Times New Roman"/>
                <w:sz w:val="20"/>
                <w:szCs w:val="20"/>
              </w:rPr>
              <w:t>f this were to happen, project implementation will get hampered.</w:t>
            </w:r>
          </w:p>
        </w:tc>
        <w:tc>
          <w:tcPr>
            <w:tcW w:w="4638" w:type="dxa"/>
          </w:tcPr>
          <w:p w:rsidR="00696D3D" w:rsidRPr="007B384B" w:rsidRDefault="00696D3D" w:rsidP="00D44F6A">
            <w:pPr>
              <w:rPr>
                <w:rFonts w:ascii="Times New Roman" w:hAnsi="Times New Roman"/>
                <w:color w:val="365F91" w:themeColor="accent1" w:themeShade="BF"/>
              </w:rPr>
            </w:pPr>
            <w:r>
              <w:rPr>
                <w:rFonts w:ascii="Times New Roman" w:hAnsi="Times New Roman"/>
                <w:sz w:val="20"/>
                <w:szCs w:val="20"/>
              </w:rPr>
              <w:t>T</w:t>
            </w:r>
            <w:r w:rsidRPr="000737C3">
              <w:rPr>
                <w:rFonts w:ascii="Times New Roman" w:hAnsi="Times New Roman"/>
                <w:sz w:val="20"/>
                <w:szCs w:val="20"/>
              </w:rPr>
              <w:t>he Government is strongly motivated to provide access to modernised energy services to the large rural population that utilises traditional forms of energy, to improve their quality of life and for income-generating activities, and is driven by its plans to meet both the objectives of the Lesotho Vision 2020 and the S4All Initiative.</w:t>
            </w:r>
            <w:r>
              <w:rPr>
                <w:rFonts w:ascii="Times New Roman" w:hAnsi="Times New Roman"/>
                <w:sz w:val="20"/>
                <w:szCs w:val="20"/>
              </w:rPr>
              <w:t xml:space="preserve"> </w:t>
            </w:r>
            <w:r w:rsidRPr="000737C3">
              <w:rPr>
                <w:rFonts w:ascii="Times New Roman" w:hAnsi="Times New Roman"/>
                <w:sz w:val="20"/>
                <w:szCs w:val="20"/>
              </w:rPr>
              <w:t>Moreover, project interventions under Component 1 will assist in mitigating this risk.</w:t>
            </w:r>
          </w:p>
        </w:tc>
      </w:tr>
      <w:tr w:rsidR="00696D3D" w:rsidTr="00D44F6A">
        <w:tc>
          <w:tcPr>
            <w:tcW w:w="4639" w:type="dxa"/>
          </w:tcPr>
          <w:p w:rsidR="00696D3D" w:rsidRPr="007B384B" w:rsidRDefault="00696D3D" w:rsidP="00D44F6A">
            <w:pPr>
              <w:rPr>
                <w:rFonts w:ascii="Times New Roman" w:hAnsi="Times New Roman"/>
                <w:color w:val="365F91" w:themeColor="accent1" w:themeShade="BF"/>
              </w:rPr>
            </w:pPr>
            <w:r w:rsidRPr="007B384B">
              <w:rPr>
                <w:rFonts w:ascii="Times New Roman" w:hAnsi="Times New Roman"/>
                <w:b/>
                <w:color w:val="000000"/>
                <w:lang w:eastAsia="uk-UA"/>
              </w:rPr>
              <w:t>Institutional:</w:t>
            </w:r>
            <w:r w:rsidRPr="007B384B">
              <w:rPr>
                <w:rFonts w:ascii="Times New Roman" w:hAnsi="Times New Roman"/>
                <w:color w:val="000000"/>
                <w:lang w:eastAsia="uk-UA"/>
              </w:rPr>
              <w:t xml:space="preserve"> Dependence on SAPP imports could increase or become more attractive relative to development of the country’s indigenous RETs</w:t>
            </w:r>
          </w:p>
        </w:tc>
        <w:tc>
          <w:tcPr>
            <w:tcW w:w="4637" w:type="dxa"/>
          </w:tcPr>
          <w:p w:rsidR="00696D3D" w:rsidRPr="007B384B" w:rsidRDefault="00696D3D" w:rsidP="00D44F6A">
            <w:pPr>
              <w:rPr>
                <w:rFonts w:ascii="Times New Roman" w:hAnsi="Times New Roman"/>
                <w:color w:val="365F91" w:themeColor="accent1" w:themeShade="BF"/>
              </w:rPr>
            </w:pPr>
            <w:r w:rsidRPr="007B384B">
              <w:rPr>
                <w:rFonts w:ascii="Times New Roman" w:hAnsi="Times New Roman"/>
              </w:rPr>
              <w:t xml:space="preserve">Southern African Power Pool, mainly based on coal generation, will remain in border areas, to the detriment of renewable energy based decentralised options. </w:t>
            </w:r>
          </w:p>
        </w:tc>
        <w:tc>
          <w:tcPr>
            <w:tcW w:w="4638" w:type="dxa"/>
          </w:tcPr>
          <w:p w:rsidR="00696D3D" w:rsidRDefault="00696D3D" w:rsidP="00D44F6A">
            <w:pPr>
              <w:rPr>
                <w:rFonts w:ascii="Times New Roman" w:hAnsi="Times New Roman"/>
              </w:rPr>
            </w:pPr>
            <w:r>
              <w:rPr>
                <w:rFonts w:ascii="Times New Roman" w:hAnsi="Times New Roman"/>
              </w:rPr>
              <w:t>T</w:t>
            </w:r>
            <w:r w:rsidRPr="007B384B">
              <w:rPr>
                <w:rFonts w:ascii="Times New Roman" w:hAnsi="Times New Roman"/>
              </w:rPr>
              <w:t>his does not pose a risk deep inside the country, as stringing long electricity lines does not make economic sense due to the small loads and difficult terrain.</w:t>
            </w:r>
          </w:p>
          <w:p w:rsidR="00696D3D" w:rsidRPr="007B384B" w:rsidRDefault="00696D3D" w:rsidP="00D44F6A">
            <w:pPr>
              <w:rPr>
                <w:rFonts w:ascii="Times New Roman" w:hAnsi="Times New Roman"/>
                <w:color w:val="365F91" w:themeColor="accent1" w:themeShade="BF"/>
              </w:rPr>
            </w:pPr>
            <w:r>
              <w:rPr>
                <w:rFonts w:ascii="Times New Roman" w:hAnsi="Times New Roman"/>
                <w:sz w:val="20"/>
                <w:szCs w:val="20"/>
              </w:rPr>
              <w:t>T</w:t>
            </w:r>
            <w:r w:rsidRPr="000737C3">
              <w:rPr>
                <w:rFonts w:ascii="Times New Roman" w:hAnsi="Times New Roman"/>
                <w:sz w:val="20"/>
                <w:szCs w:val="20"/>
              </w:rPr>
              <w:t>his risk will be mitigated by the fact that, as per existing projections (ref. Sothern African Power Pool: Planning and Prospects for Renewable Energy, IRENA 2013) which indicate that “the share of renewable technologies in electricity production in the South African Power Pool region could increase from the current level of 10% to as high as 46% in 2030”.</w:t>
            </w:r>
          </w:p>
        </w:tc>
      </w:tr>
      <w:tr w:rsidR="00696D3D" w:rsidTr="00D44F6A">
        <w:tc>
          <w:tcPr>
            <w:tcW w:w="4639" w:type="dxa"/>
          </w:tcPr>
          <w:p w:rsidR="00696D3D" w:rsidRPr="007B384B" w:rsidRDefault="00696D3D" w:rsidP="00D44F6A">
            <w:pPr>
              <w:rPr>
                <w:rFonts w:ascii="Times New Roman" w:hAnsi="Times New Roman"/>
                <w:color w:val="365F91" w:themeColor="accent1" w:themeShade="BF"/>
              </w:rPr>
            </w:pPr>
            <w:r w:rsidRPr="007B384B">
              <w:rPr>
                <w:rFonts w:ascii="Times New Roman" w:hAnsi="Times New Roman"/>
                <w:b/>
                <w:color w:val="000000"/>
                <w:lang w:eastAsia="uk-UA"/>
              </w:rPr>
              <w:t>Financial:</w:t>
            </w:r>
            <w:r w:rsidRPr="007B384B">
              <w:rPr>
                <w:rFonts w:ascii="Times New Roman" w:hAnsi="Times New Roman"/>
                <w:color w:val="000000"/>
                <w:lang w:eastAsia="uk-UA"/>
              </w:rPr>
              <w:t xml:space="preserve"> SE4All funding resources may not materialize, thus making the CAA and IP of little use.   </w:t>
            </w:r>
          </w:p>
        </w:tc>
        <w:tc>
          <w:tcPr>
            <w:tcW w:w="4637" w:type="dxa"/>
          </w:tcPr>
          <w:p w:rsidR="00696D3D" w:rsidRPr="007B384B" w:rsidRDefault="00696D3D" w:rsidP="00D44F6A">
            <w:pPr>
              <w:rPr>
                <w:rFonts w:ascii="Times New Roman" w:hAnsi="Times New Roman"/>
                <w:color w:val="365F91" w:themeColor="accent1" w:themeShade="BF"/>
              </w:rPr>
            </w:pPr>
            <w:r w:rsidRPr="007B384B">
              <w:rPr>
                <w:rFonts w:ascii="Times New Roman" w:hAnsi="Times New Roman"/>
                <w:color w:val="000000"/>
                <w:lang w:eastAsia="uk-UA"/>
              </w:rPr>
              <w:t>SE4All funding resources may not materialize, thus making the CAA and IP of little use.</w:t>
            </w:r>
            <w:r>
              <w:rPr>
                <w:rFonts w:ascii="Times New Roman" w:hAnsi="Times New Roman"/>
                <w:color w:val="000000"/>
                <w:lang w:eastAsia="uk-UA"/>
              </w:rPr>
              <w:t xml:space="preserve"> </w:t>
            </w:r>
            <w:r w:rsidRPr="000737C3">
              <w:rPr>
                <w:rFonts w:ascii="Times New Roman" w:hAnsi="Times New Roman"/>
                <w:sz w:val="20"/>
                <w:szCs w:val="20"/>
              </w:rPr>
              <w:t>If this were to happen, it will provide a set-back in the dev</w:t>
            </w:r>
            <w:r>
              <w:rPr>
                <w:rFonts w:ascii="Times New Roman" w:hAnsi="Times New Roman"/>
                <w:sz w:val="20"/>
                <w:szCs w:val="20"/>
              </w:rPr>
              <w:t>elopment of RETs in the country.</w:t>
            </w:r>
          </w:p>
        </w:tc>
        <w:tc>
          <w:tcPr>
            <w:tcW w:w="4638" w:type="dxa"/>
          </w:tcPr>
          <w:p w:rsidR="00696D3D" w:rsidRPr="007B384B" w:rsidRDefault="00696D3D" w:rsidP="00D44F6A">
            <w:pPr>
              <w:rPr>
                <w:rFonts w:ascii="Times New Roman" w:hAnsi="Times New Roman"/>
                <w:color w:val="365F91" w:themeColor="accent1" w:themeShade="BF"/>
              </w:rPr>
            </w:pPr>
            <w:r w:rsidRPr="000737C3">
              <w:rPr>
                <w:rFonts w:ascii="Times New Roman" w:hAnsi="Times New Roman"/>
                <w:sz w:val="20"/>
                <w:szCs w:val="20"/>
              </w:rPr>
              <w:t>However, indications from the country action process developed by the SE4All Secretariat are that those countries that expeditiously complete their CAA and IP documents will be prioritized as regards access to dedicated SE4All funds when and if they materialize. Project interventions under Component 4 will assist in mitigating this risk by targeting both domestic and international investors</w:t>
            </w:r>
          </w:p>
        </w:tc>
      </w:tr>
      <w:tr w:rsidR="00696D3D" w:rsidTr="00D44F6A">
        <w:tc>
          <w:tcPr>
            <w:tcW w:w="4639" w:type="dxa"/>
          </w:tcPr>
          <w:p w:rsidR="00696D3D" w:rsidRPr="007B384B" w:rsidRDefault="00696D3D" w:rsidP="00D44F6A">
            <w:pPr>
              <w:rPr>
                <w:rFonts w:ascii="Times New Roman" w:hAnsi="Times New Roman"/>
                <w:b/>
                <w:color w:val="365F91" w:themeColor="accent1" w:themeShade="BF"/>
              </w:rPr>
            </w:pPr>
            <w:r w:rsidRPr="007B384B">
              <w:rPr>
                <w:rFonts w:ascii="Times New Roman" w:hAnsi="Times New Roman"/>
                <w:b/>
                <w:color w:val="000000"/>
                <w:lang w:eastAsia="uk-UA"/>
              </w:rPr>
              <w:t>Poor investment climate.</w:t>
            </w:r>
          </w:p>
        </w:tc>
        <w:tc>
          <w:tcPr>
            <w:tcW w:w="4637" w:type="dxa"/>
          </w:tcPr>
          <w:p w:rsidR="00696D3D" w:rsidRPr="007B384B" w:rsidRDefault="00696D3D" w:rsidP="00D44F6A">
            <w:pPr>
              <w:rPr>
                <w:rFonts w:ascii="Times New Roman" w:hAnsi="Times New Roman"/>
                <w:color w:val="365F91" w:themeColor="accent1" w:themeShade="BF"/>
              </w:rPr>
            </w:pPr>
            <w:r w:rsidRPr="007B384B">
              <w:rPr>
                <w:rFonts w:ascii="Times New Roman" w:hAnsi="Times New Roman"/>
              </w:rPr>
              <w:t xml:space="preserve">The fact that Lesotho ranks in the 128th place in “Ease of doing Business”, as per the WB/IFC “Doing Business 2015” publication and 115th in enforcing contracts might act as a </w:t>
            </w:r>
            <w:r>
              <w:rPr>
                <w:rFonts w:ascii="Times New Roman" w:hAnsi="Times New Roman"/>
              </w:rPr>
              <w:t>deterrent for investors in RETs.</w:t>
            </w:r>
          </w:p>
        </w:tc>
        <w:tc>
          <w:tcPr>
            <w:tcW w:w="4638" w:type="dxa"/>
          </w:tcPr>
          <w:p w:rsidR="00696D3D" w:rsidRPr="007B384B" w:rsidRDefault="00696D3D" w:rsidP="00D44F6A">
            <w:pPr>
              <w:rPr>
                <w:rFonts w:ascii="Times New Roman" w:hAnsi="Times New Roman"/>
                <w:color w:val="365F91" w:themeColor="accent1" w:themeShade="BF"/>
              </w:rPr>
            </w:pPr>
            <w:r>
              <w:rPr>
                <w:rFonts w:ascii="Times New Roman" w:hAnsi="Times New Roman"/>
                <w:sz w:val="20"/>
                <w:szCs w:val="20"/>
              </w:rPr>
              <w:t>T</w:t>
            </w:r>
            <w:r w:rsidRPr="000737C3">
              <w:rPr>
                <w:rFonts w:ascii="Times New Roman" w:hAnsi="Times New Roman"/>
                <w:sz w:val="20"/>
                <w:szCs w:val="20"/>
              </w:rPr>
              <w:t>he project will put in place a Financial Support Scheme that will be directed at minimising the financial risks that lenders and investors may face in doing business targeting RETs for the rural areas.</w:t>
            </w:r>
          </w:p>
        </w:tc>
      </w:tr>
      <w:tr w:rsidR="00696D3D" w:rsidTr="00D44F6A">
        <w:tc>
          <w:tcPr>
            <w:tcW w:w="4639" w:type="dxa"/>
          </w:tcPr>
          <w:p w:rsidR="00696D3D" w:rsidRDefault="00696D3D" w:rsidP="00D44F6A">
            <w:pPr>
              <w:rPr>
                <w:rFonts w:ascii="Times New Roman" w:hAnsi="Times New Roman"/>
                <w:color w:val="365F91" w:themeColor="accent1" w:themeShade="BF"/>
                <w:sz w:val="24"/>
              </w:rPr>
            </w:pPr>
            <w:r>
              <w:rPr>
                <w:rFonts w:ascii="Times New Roman" w:hAnsi="Times New Roman"/>
                <w:b/>
                <w:color w:val="000000"/>
                <w:sz w:val="20"/>
                <w:szCs w:val="20"/>
                <w:lang w:eastAsia="uk-UA"/>
              </w:rPr>
              <w:t>Technology:</w:t>
            </w:r>
            <w:r w:rsidRPr="000737C3">
              <w:rPr>
                <w:rFonts w:ascii="Times New Roman" w:hAnsi="Times New Roman"/>
                <w:color w:val="000000"/>
                <w:sz w:val="20"/>
                <w:szCs w:val="20"/>
                <w:lang w:eastAsia="uk-UA"/>
              </w:rPr>
              <w:t xml:space="preserve"> Renewable energy equipment of poor quality introduced in the country.</w:t>
            </w:r>
          </w:p>
        </w:tc>
        <w:tc>
          <w:tcPr>
            <w:tcW w:w="4637" w:type="dxa"/>
          </w:tcPr>
          <w:p w:rsidR="00696D3D" w:rsidRDefault="00696D3D" w:rsidP="00D44F6A">
            <w:pPr>
              <w:rPr>
                <w:rFonts w:ascii="Times New Roman" w:hAnsi="Times New Roman"/>
                <w:color w:val="365F91" w:themeColor="accent1" w:themeShade="BF"/>
                <w:sz w:val="24"/>
              </w:rPr>
            </w:pPr>
            <w:r w:rsidRPr="000737C3">
              <w:rPr>
                <w:rFonts w:ascii="Times New Roman" w:hAnsi="Times New Roman"/>
                <w:sz w:val="20"/>
                <w:szCs w:val="20"/>
              </w:rPr>
              <w:t>Poor quality of equipment and shoddy installation have been shown to have plagued some SHS in Lesotho.</w:t>
            </w:r>
          </w:p>
        </w:tc>
        <w:tc>
          <w:tcPr>
            <w:tcW w:w="4638" w:type="dxa"/>
          </w:tcPr>
          <w:p w:rsidR="00696D3D" w:rsidRDefault="00696D3D" w:rsidP="00D44F6A">
            <w:pPr>
              <w:rPr>
                <w:rFonts w:ascii="Times New Roman" w:hAnsi="Times New Roman"/>
                <w:color w:val="365F91" w:themeColor="accent1" w:themeShade="BF"/>
                <w:sz w:val="24"/>
              </w:rPr>
            </w:pPr>
            <w:r>
              <w:rPr>
                <w:rFonts w:ascii="Times New Roman" w:hAnsi="Times New Roman"/>
                <w:sz w:val="20"/>
                <w:szCs w:val="20"/>
              </w:rPr>
              <w:t>T</w:t>
            </w:r>
            <w:r w:rsidRPr="000737C3">
              <w:rPr>
                <w:rFonts w:ascii="Times New Roman" w:hAnsi="Times New Roman"/>
                <w:sz w:val="20"/>
                <w:szCs w:val="20"/>
              </w:rPr>
              <w:t>he Government will put in place, through the Department of Standards and Quality Assurance (DSQA), strict controls on the standards of renewable energy equipment that can be imported and installed in the country. In addition, the Government will ensure that all installations and maintenance should be undertaken only by licensed and certified technicians as per established electricity codes.</w:t>
            </w:r>
          </w:p>
        </w:tc>
      </w:tr>
      <w:tr w:rsidR="00696D3D" w:rsidTr="00D44F6A">
        <w:tc>
          <w:tcPr>
            <w:tcW w:w="4639" w:type="dxa"/>
          </w:tcPr>
          <w:p w:rsidR="00696D3D" w:rsidRPr="007601FC" w:rsidRDefault="00696D3D" w:rsidP="00D44F6A">
            <w:pPr>
              <w:rPr>
                <w:rFonts w:ascii="Times New Roman" w:hAnsi="Times New Roman"/>
                <w:b/>
                <w:color w:val="000000"/>
                <w:sz w:val="20"/>
                <w:szCs w:val="20"/>
                <w:lang w:eastAsia="uk-UA"/>
              </w:rPr>
            </w:pPr>
            <w:r w:rsidRPr="007601FC">
              <w:rPr>
                <w:rFonts w:ascii="Times New Roman" w:hAnsi="Times New Roman"/>
                <w:b/>
                <w:color w:val="000000"/>
                <w:sz w:val="20"/>
                <w:szCs w:val="20"/>
                <w:lang w:eastAsia="uk-UA"/>
              </w:rPr>
              <w:lastRenderedPageBreak/>
              <w:t>Environmental/Climate Change</w:t>
            </w:r>
          </w:p>
        </w:tc>
        <w:tc>
          <w:tcPr>
            <w:tcW w:w="4637" w:type="dxa"/>
          </w:tcPr>
          <w:p w:rsidR="00696D3D" w:rsidRDefault="00696D3D" w:rsidP="00D44F6A">
            <w:pPr>
              <w:rPr>
                <w:rFonts w:ascii="Times New Roman" w:hAnsi="Times New Roman"/>
                <w:color w:val="365F91" w:themeColor="accent1" w:themeShade="BF"/>
                <w:sz w:val="24"/>
              </w:rPr>
            </w:pPr>
            <w:r w:rsidRPr="000737C3">
              <w:rPr>
                <w:rFonts w:ascii="Times New Roman" w:hAnsi="Times New Roman"/>
                <w:sz w:val="20"/>
                <w:szCs w:val="20"/>
              </w:rPr>
              <w:t>There are multiple environmental risks, as outlined in Lesotho’s Second National Communication to UNFCCC (e.g. reduced rainfall that can affect water flows, land and watershed degradation due to erosion and population pressures) that can affect energy planning and infrastructure investments.</w:t>
            </w:r>
          </w:p>
        </w:tc>
        <w:tc>
          <w:tcPr>
            <w:tcW w:w="4638" w:type="dxa"/>
          </w:tcPr>
          <w:p w:rsidR="00696D3D" w:rsidRDefault="00696D3D" w:rsidP="00D44F6A">
            <w:pPr>
              <w:rPr>
                <w:rFonts w:ascii="Times New Roman" w:hAnsi="Times New Roman"/>
                <w:color w:val="365F91" w:themeColor="accent1" w:themeShade="BF"/>
                <w:sz w:val="24"/>
              </w:rPr>
            </w:pPr>
            <w:r>
              <w:rPr>
                <w:rFonts w:ascii="Times New Roman" w:hAnsi="Times New Roman"/>
                <w:sz w:val="20"/>
                <w:szCs w:val="20"/>
              </w:rPr>
              <w:t>T</w:t>
            </w:r>
            <w:r w:rsidRPr="000737C3">
              <w:rPr>
                <w:rFonts w:ascii="Times New Roman" w:hAnsi="Times New Roman"/>
                <w:sz w:val="20"/>
                <w:szCs w:val="20"/>
              </w:rPr>
              <w:t>hese are being and will continue to be addressed through capacity development of Government staff on the key aspects to address national challenges associated with weather, climate and climate change.</w:t>
            </w:r>
          </w:p>
        </w:tc>
      </w:tr>
    </w:tbl>
    <w:p w:rsidR="00696D3D" w:rsidRDefault="00696D3D" w:rsidP="00F72E6B"/>
    <w:sectPr w:rsidR="00696D3D" w:rsidSect="00E8193A">
      <w:footerReference w:type="default" r:id="rId9"/>
      <w:pgSz w:w="11907" w:h="16839" w:code="9"/>
      <w:pgMar w:top="810" w:right="990" w:bottom="540" w:left="900" w:header="720" w:footer="37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E04" w:rsidRDefault="00066E04" w:rsidP="00F10AF8">
      <w:pPr>
        <w:spacing w:after="0" w:line="240" w:lineRule="auto"/>
      </w:pPr>
      <w:r>
        <w:separator/>
      </w:r>
    </w:p>
  </w:endnote>
  <w:endnote w:type="continuationSeparator" w:id="0">
    <w:p w:rsidR="00066E04" w:rsidRDefault="00066E04" w:rsidP="00F1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7146"/>
      <w:docPartObj>
        <w:docPartGallery w:val="Page Numbers (Bottom of Page)"/>
        <w:docPartUnique/>
      </w:docPartObj>
    </w:sdtPr>
    <w:sdtEndPr>
      <w:rPr>
        <w:noProof/>
      </w:rPr>
    </w:sdtEndPr>
    <w:sdtContent>
      <w:p w:rsidR="00BF693F" w:rsidRDefault="00BF693F">
        <w:pPr>
          <w:pStyle w:val="Footer"/>
          <w:jc w:val="center"/>
        </w:pPr>
        <w:r>
          <w:fldChar w:fldCharType="begin"/>
        </w:r>
        <w:r>
          <w:instrText xml:space="preserve"> PAGE   \* MERGEFORMAT </w:instrText>
        </w:r>
        <w:r>
          <w:fldChar w:fldCharType="separate"/>
        </w:r>
        <w:r w:rsidR="00A23D0B">
          <w:rPr>
            <w:noProof/>
          </w:rPr>
          <w:t>2</w:t>
        </w:r>
        <w:r>
          <w:rPr>
            <w:noProof/>
          </w:rPr>
          <w:fldChar w:fldCharType="end"/>
        </w:r>
      </w:p>
    </w:sdtContent>
  </w:sdt>
  <w:p w:rsidR="00BF693F" w:rsidRDefault="00BF69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E04" w:rsidRDefault="00066E04" w:rsidP="00F10AF8">
      <w:pPr>
        <w:spacing w:after="0" w:line="240" w:lineRule="auto"/>
      </w:pPr>
      <w:r>
        <w:separator/>
      </w:r>
    </w:p>
  </w:footnote>
  <w:footnote w:type="continuationSeparator" w:id="0">
    <w:p w:rsidR="00066E04" w:rsidRDefault="00066E04" w:rsidP="00F10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312"/>
    <w:multiLevelType w:val="hybridMultilevel"/>
    <w:tmpl w:val="EA624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4321B"/>
    <w:multiLevelType w:val="hybridMultilevel"/>
    <w:tmpl w:val="ED68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E22A4"/>
    <w:multiLevelType w:val="hybridMultilevel"/>
    <w:tmpl w:val="FC2E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E0DE1"/>
    <w:multiLevelType w:val="hybridMultilevel"/>
    <w:tmpl w:val="CA90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C1299"/>
    <w:multiLevelType w:val="hybridMultilevel"/>
    <w:tmpl w:val="6EA0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956D0"/>
    <w:multiLevelType w:val="hybridMultilevel"/>
    <w:tmpl w:val="50DA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E60D5"/>
    <w:multiLevelType w:val="hybridMultilevel"/>
    <w:tmpl w:val="A0AC91E4"/>
    <w:lvl w:ilvl="0" w:tplc="F8D48C88">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5285699"/>
    <w:multiLevelType w:val="hybridMultilevel"/>
    <w:tmpl w:val="BC463FE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488431A5"/>
    <w:multiLevelType w:val="hybridMultilevel"/>
    <w:tmpl w:val="C78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4599B"/>
    <w:multiLevelType w:val="hybridMultilevel"/>
    <w:tmpl w:val="18F85804"/>
    <w:lvl w:ilvl="0" w:tplc="412ECD00">
      <w:start w:val="1"/>
      <w:numFmt w:val="lowerRoman"/>
      <w:lvlText w:val="%1)"/>
      <w:lvlJc w:val="left"/>
      <w:pPr>
        <w:ind w:left="2355" w:hanging="72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0" w15:restartNumberingAfterBreak="0">
    <w:nsid w:val="68C94587"/>
    <w:multiLevelType w:val="hybridMultilevel"/>
    <w:tmpl w:val="FCEE034A"/>
    <w:lvl w:ilvl="0" w:tplc="EFE838BC">
      <w:numFmt w:val="bullet"/>
      <w:lvlText w:val=""/>
      <w:lvlJc w:val="left"/>
      <w:pPr>
        <w:ind w:left="12" w:hanging="552"/>
      </w:pPr>
      <w:rPr>
        <w:rFonts w:ascii="Symbol" w:eastAsiaTheme="minorEastAsia" w:hAnsi="Symbol" w:cstheme="minorBidi" w:hint="default"/>
        <w:b/>
        <w:color w:val="00000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1" w15:restartNumberingAfterBreak="0">
    <w:nsid w:val="72880CE9"/>
    <w:multiLevelType w:val="hybridMultilevel"/>
    <w:tmpl w:val="92FEB44E"/>
    <w:lvl w:ilvl="0" w:tplc="7174E48C">
      <w:start w:val="2"/>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1"/>
  </w:num>
  <w:num w:numId="5">
    <w:abstractNumId w:val="0"/>
  </w:num>
  <w:num w:numId="6">
    <w:abstractNumId w:val="3"/>
  </w:num>
  <w:num w:numId="7">
    <w:abstractNumId w:val="10"/>
  </w:num>
  <w:num w:numId="8">
    <w:abstractNumId w:val="7"/>
  </w:num>
  <w:num w:numId="9">
    <w:abstractNumId w:val="4"/>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5A"/>
    <w:rsid w:val="00001275"/>
    <w:rsid w:val="00003427"/>
    <w:rsid w:val="00006544"/>
    <w:rsid w:val="00013E32"/>
    <w:rsid w:val="00014824"/>
    <w:rsid w:val="00020C35"/>
    <w:rsid w:val="00020E06"/>
    <w:rsid w:val="000221D0"/>
    <w:rsid w:val="00031693"/>
    <w:rsid w:val="0004219B"/>
    <w:rsid w:val="00042BF9"/>
    <w:rsid w:val="00051733"/>
    <w:rsid w:val="00062A8F"/>
    <w:rsid w:val="00066E04"/>
    <w:rsid w:val="000818C1"/>
    <w:rsid w:val="000A2880"/>
    <w:rsid w:val="000A2C29"/>
    <w:rsid w:val="000A4C9D"/>
    <w:rsid w:val="000B13CC"/>
    <w:rsid w:val="000B1ADE"/>
    <w:rsid w:val="000C7326"/>
    <w:rsid w:val="000E205A"/>
    <w:rsid w:val="000F0C74"/>
    <w:rsid w:val="000F43E3"/>
    <w:rsid w:val="00101CB2"/>
    <w:rsid w:val="00113A92"/>
    <w:rsid w:val="00136563"/>
    <w:rsid w:val="001520FC"/>
    <w:rsid w:val="0015392B"/>
    <w:rsid w:val="00157910"/>
    <w:rsid w:val="00161F50"/>
    <w:rsid w:val="00162620"/>
    <w:rsid w:val="00166569"/>
    <w:rsid w:val="001728F9"/>
    <w:rsid w:val="00186C8B"/>
    <w:rsid w:val="00192223"/>
    <w:rsid w:val="001C17A6"/>
    <w:rsid w:val="001C5F45"/>
    <w:rsid w:val="001E2C65"/>
    <w:rsid w:val="001F0815"/>
    <w:rsid w:val="001F64D8"/>
    <w:rsid w:val="001F7865"/>
    <w:rsid w:val="002369DD"/>
    <w:rsid w:val="00240B04"/>
    <w:rsid w:val="00244308"/>
    <w:rsid w:val="00266961"/>
    <w:rsid w:val="00273397"/>
    <w:rsid w:val="002910D7"/>
    <w:rsid w:val="00293154"/>
    <w:rsid w:val="002A26D1"/>
    <w:rsid w:val="002B69C0"/>
    <w:rsid w:val="002B7C65"/>
    <w:rsid w:val="002C066A"/>
    <w:rsid w:val="002C1E5F"/>
    <w:rsid w:val="002C2B0D"/>
    <w:rsid w:val="002D063C"/>
    <w:rsid w:val="002D16CB"/>
    <w:rsid w:val="002E5363"/>
    <w:rsid w:val="002E6E67"/>
    <w:rsid w:val="002F229E"/>
    <w:rsid w:val="002F7984"/>
    <w:rsid w:val="003321D6"/>
    <w:rsid w:val="00335F3E"/>
    <w:rsid w:val="0033700C"/>
    <w:rsid w:val="00353198"/>
    <w:rsid w:val="00354F0D"/>
    <w:rsid w:val="00355881"/>
    <w:rsid w:val="00372F9A"/>
    <w:rsid w:val="00373969"/>
    <w:rsid w:val="003767DF"/>
    <w:rsid w:val="003805CE"/>
    <w:rsid w:val="00397A98"/>
    <w:rsid w:val="003A0823"/>
    <w:rsid w:val="003B7CEF"/>
    <w:rsid w:val="003C0483"/>
    <w:rsid w:val="003C29D4"/>
    <w:rsid w:val="003F28C3"/>
    <w:rsid w:val="003F6452"/>
    <w:rsid w:val="004061AC"/>
    <w:rsid w:val="00417BF9"/>
    <w:rsid w:val="004215C4"/>
    <w:rsid w:val="00436BE7"/>
    <w:rsid w:val="0045727A"/>
    <w:rsid w:val="00461EA9"/>
    <w:rsid w:val="004A2E6D"/>
    <w:rsid w:val="004A4C01"/>
    <w:rsid w:val="004B434F"/>
    <w:rsid w:val="004B77B5"/>
    <w:rsid w:val="004C1D73"/>
    <w:rsid w:val="004C233A"/>
    <w:rsid w:val="004C330A"/>
    <w:rsid w:val="004D04BF"/>
    <w:rsid w:val="004D21CF"/>
    <w:rsid w:val="004D708A"/>
    <w:rsid w:val="004F4415"/>
    <w:rsid w:val="004F45CA"/>
    <w:rsid w:val="00504B7E"/>
    <w:rsid w:val="0051431F"/>
    <w:rsid w:val="00537B3E"/>
    <w:rsid w:val="00555CBF"/>
    <w:rsid w:val="00557099"/>
    <w:rsid w:val="005605EC"/>
    <w:rsid w:val="00572A03"/>
    <w:rsid w:val="00580B57"/>
    <w:rsid w:val="00597B9D"/>
    <w:rsid w:val="005A688A"/>
    <w:rsid w:val="005B67DD"/>
    <w:rsid w:val="005C1AB7"/>
    <w:rsid w:val="005D0A7B"/>
    <w:rsid w:val="005F1E7A"/>
    <w:rsid w:val="005F2458"/>
    <w:rsid w:val="005F4440"/>
    <w:rsid w:val="00607E73"/>
    <w:rsid w:val="00614173"/>
    <w:rsid w:val="00631C51"/>
    <w:rsid w:val="00655537"/>
    <w:rsid w:val="00664067"/>
    <w:rsid w:val="00666A39"/>
    <w:rsid w:val="006820C4"/>
    <w:rsid w:val="00690A67"/>
    <w:rsid w:val="00696D3D"/>
    <w:rsid w:val="006F586F"/>
    <w:rsid w:val="006F6432"/>
    <w:rsid w:val="00701179"/>
    <w:rsid w:val="00711994"/>
    <w:rsid w:val="0072370E"/>
    <w:rsid w:val="00736864"/>
    <w:rsid w:val="0074532F"/>
    <w:rsid w:val="00752CDD"/>
    <w:rsid w:val="00762534"/>
    <w:rsid w:val="00764BD6"/>
    <w:rsid w:val="00766464"/>
    <w:rsid w:val="007849DE"/>
    <w:rsid w:val="007933A4"/>
    <w:rsid w:val="00795CFE"/>
    <w:rsid w:val="007D3673"/>
    <w:rsid w:val="007D75B0"/>
    <w:rsid w:val="007D7670"/>
    <w:rsid w:val="007F3441"/>
    <w:rsid w:val="008036FA"/>
    <w:rsid w:val="00814B01"/>
    <w:rsid w:val="0081597F"/>
    <w:rsid w:val="00836C88"/>
    <w:rsid w:val="00843D12"/>
    <w:rsid w:val="00846D48"/>
    <w:rsid w:val="008602B3"/>
    <w:rsid w:val="0089227E"/>
    <w:rsid w:val="0089645D"/>
    <w:rsid w:val="00897CBB"/>
    <w:rsid w:val="008A683B"/>
    <w:rsid w:val="008B031F"/>
    <w:rsid w:val="008B0A98"/>
    <w:rsid w:val="008B2C4C"/>
    <w:rsid w:val="008C0979"/>
    <w:rsid w:val="008C1A0D"/>
    <w:rsid w:val="008C3C3B"/>
    <w:rsid w:val="008E58C9"/>
    <w:rsid w:val="008F4735"/>
    <w:rsid w:val="008F6CD2"/>
    <w:rsid w:val="00900CE9"/>
    <w:rsid w:val="009212E7"/>
    <w:rsid w:val="00931EFC"/>
    <w:rsid w:val="00935620"/>
    <w:rsid w:val="009421DB"/>
    <w:rsid w:val="0094516F"/>
    <w:rsid w:val="0094621E"/>
    <w:rsid w:val="00954454"/>
    <w:rsid w:val="00954683"/>
    <w:rsid w:val="00955108"/>
    <w:rsid w:val="00955486"/>
    <w:rsid w:val="0096693A"/>
    <w:rsid w:val="009759BB"/>
    <w:rsid w:val="0098090F"/>
    <w:rsid w:val="00981417"/>
    <w:rsid w:val="009824FE"/>
    <w:rsid w:val="009A0837"/>
    <w:rsid w:val="009A3292"/>
    <w:rsid w:val="009C64D1"/>
    <w:rsid w:val="009D147B"/>
    <w:rsid w:val="009E29EF"/>
    <w:rsid w:val="009E2FD7"/>
    <w:rsid w:val="009E423A"/>
    <w:rsid w:val="009F02A3"/>
    <w:rsid w:val="009F6AFA"/>
    <w:rsid w:val="00A049AF"/>
    <w:rsid w:val="00A06163"/>
    <w:rsid w:val="00A10236"/>
    <w:rsid w:val="00A1069A"/>
    <w:rsid w:val="00A13ECF"/>
    <w:rsid w:val="00A23D0B"/>
    <w:rsid w:val="00A31A0D"/>
    <w:rsid w:val="00A37E57"/>
    <w:rsid w:val="00A41ABF"/>
    <w:rsid w:val="00A61C49"/>
    <w:rsid w:val="00A6791D"/>
    <w:rsid w:val="00A80559"/>
    <w:rsid w:val="00A82C12"/>
    <w:rsid w:val="00A91A32"/>
    <w:rsid w:val="00A92319"/>
    <w:rsid w:val="00AA48F5"/>
    <w:rsid w:val="00AB3012"/>
    <w:rsid w:val="00AC07A2"/>
    <w:rsid w:val="00AD03A9"/>
    <w:rsid w:val="00AD654F"/>
    <w:rsid w:val="00B0461E"/>
    <w:rsid w:val="00B25C9B"/>
    <w:rsid w:val="00B43E14"/>
    <w:rsid w:val="00B467FF"/>
    <w:rsid w:val="00B7035F"/>
    <w:rsid w:val="00B77C34"/>
    <w:rsid w:val="00B86073"/>
    <w:rsid w:val="00B924C2"/>
    <w:rsid w:val="00BA0F2D"/>
    <w:rsid w:val="00BA4859"/>
    <w:rsid w:val="00BA4C86"/>
    <w:rsid w:val="00BB33AE"/>
    <w:rsid w:val="00BB3CBA"/>
    <w:rsid w:val="00BE5508"/>
    <w:rsid w:val="00BE7354"/>
    <w:rsid w:val="00BF693F"/>
    <w:rsid w:val="00C16C1C"/>
    <w:rsid w:val="00C37F07"/>
    <w:rsid w:val="00C403C4"/>
    <w:rsid w:val="00C44A78"/>
    <w:rsid w:val="00C52584"/>
    <w:rsid w:val="00C52F9D"/>
    <w:rsid w:val="00C56ACE"/>
    <w:rsid w:val="00C63EEC"/>
    <w:rsid w:val="00C650DA"/>
    <w:rsid w:val="00C7466D"/>
    <w:rsid w:val="00C7680F"/>
    <w:rsid w:val="00C877C2"/>
    <w:rsid w:val="00C94C5A"/>
    <w:rsid w:val="00CA3076"/>
    <w:rsid w:val="00CB3FED"/>
    <w:rsid w:val="00CD3E4A"/>
    <w:rsid w:val="00CF0246"/>
    <w:rsid w:val="00CF235C"/>
    <w:rsid w:val="00D2391F"/>
    <w:rsid w:val="00D24684"/>
    <w:rsid w:val="00D24D49"/>
    <w:rsid w:val="00D42359"/>
    <w:rsid w:val="00D44F6A"/>
    <w:rsid w:val="00D531D6"/>
    <w:rsid w:val="00D55B2B"/>
    <w:rsid w:val="00D61B39"/>
    <w:rsid w:val="00D658FA"/>
    <w:rsid w:val="00D65F04"/>
    <w:rsid w:val="00D66B18"/>
    <w:rsid w:val="00DA0CE1"/>
    <w:rsid w:val="00DB25C7"/>
    <w:rsid w:val="00DC3EC7"/>
    <w:rsid w:val="00DC5D35"/>
    <w:rsid w:val="00DE2504"/>
    <w:rsid w:val="00DE7813"/>
    <w:rsid w:val="00DE7CFC"/>
    <w:rsid w:val="00E0501C"/>
    <w:rsid w:val="00E12A65"/>
    <w:rsid w:val="00E35F47"/>
    <w:rsid w:val="00E449DE"/>
    <w:rsid w:val="00E521A3"/>
    <w:rsid w:val="00E54BC4"/>
    <w:rsid w:val="00E70924"/>
    <w:rsid w:val="00E709A1"/>
    <w:rsid w:val="00E7390E"/>
    <w:rsid w:val="00E7673C"/>
    <w:rsid w:val="00E77CE3"/>
    <w:rsid w:val="00E8193A"/>
    <w:rsid w:val="00E82047"/>
    <w:rsid w:val="00EA7B8F"/>
    <w:rsid w:val="00EB2D21"/>
    <w:rsid w:val="00EC4A0F"/>
    <w:rsid w:val="00EC5A75"/>
    <w:rsid w:val="00ED327A"/>
    <w:rsid w:val="00EE0947"/>
    <w:rsid w:val="00EF67A4"/>
    <w:rsid w:val="00F010A3"/>
    <w:rsid w:val="00F10AF8"/>
    <w:rsid w:val="00F32021"/>
    <w:rsid w:val="00F52935"/>
    <w:rsid w:val="00F5632B"/>
    <w:rsid w:val="00F57660"/>
    <w:rsid w:val="00F629EB"/>
    <w:rsid w:val="00F6361E"/>
    <w:rsid w:val="00F64AA6"/>
    <w:rsid w:val="00F6615B"/>
    <w:rsid w:val="00F66B07"/>
    <w:rsid w:val="00F66BA9"/>
    <w:rsid w:val="00F707E5"/>
    <w:rsid w:val="00F72E6B"/>
    <w:rsid w:val="00F77CE0"/>
    <w:rsid w:val="00F8232B"/>
    <w:rsid w:val="00F905BA"/>
    <w:rsid w:val="00FA6CED"/>
    <w:rsid w:val="00FB0D85"/>
    <w:rsid w:val="00FC19B3"/>
    <w:rsid w:val="00FE6632"/>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4350"/>
  <w15:docId w15:val="{A0F5F2B5-0648-40B5-BBFA-9D41D288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21E"/>
  </w:style>
  <w:style w:type="paragraph" w:styleId="Heading3">
    <w:name w:val="heading 3"/>
    <w:basedOn w:val="Normal"/>
    <w:next w:val="Normal"/>
    <w:link w:val="Heading3Char"/>
    <w:qFormat/>
    <w:rsid w:val="00B77C34"/>
    <w:pPr>
      <w:keepNext/>
      <w:spacing w:after="0" w:line="240" w:lineRule="auto"/>
      <w:jc w:val="center"/>
      <w:outlineLvl w:val="2"/>
    </w:pPr>
    <w:rPr>
      <w:rFonts w:ascii="Times New Roman" w:eastAsia="Times New Roman" w:hAnsi="Times New Roman" w:cs="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C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Left Bullet L1,List Paragraph11"/>
    <w:basedOn w:val="Normal"/>
    <w:link w:val="ListParagraphChar"/>
    <w:uiPriority w:val="34"/>
    <w:qFormat/>
    <w:rsid w:val="00C94C5A"/>
    <w:pPr>
      <w:ind w:left="720"/>
      <w:contextualSpacing/>
    </w:pPr>
    <w:rPr>
      <w:rFonts w:ascii="Calibri" w:eastAsia="Calibri" w:hAnsi="Calibri" w:cs="Times New Roman"/>
    </w:rPr>
  </w:style>
  <w:style w:type="paragraph" w:styleId="NoSpacing">
    <w:name w:val="No Spacing"/>
    <w:uiPriority w:val="1"/>
    <w:qFormat/>
    <w:rsid w:val="00954683"/>
    <w:pPr>
      <w:spacing w:after="0" w:line="240" w:lineRule="auto"/>
    </w:pPr>
  </w:style>
  <w:style w:type="character" w:customStyle="1" w:styleId="Heading3Char">
    <w:name w:val="Heading 3 Char"/>
    <w:basedOn w:val="DefaultParagraphFont"/>
    <w:link w:val="Heading3"/>
    <w:rsid w:val="00B77C34"/>
    <w:rPr>
      <w:rFonts w:ascii="Times New Roman" w:eastAsia="Times New Roman" w:hAnsi="Times New Roman" w:cs="Times New Roman"/>
      <w:b/>
      <w:bCs/>
      <w:sz w:val="24"/>
      <w:szCs w:val="24"/>
      <w:u w:val="single"/>
      <w:lang w:val="en-GB"/>
    </w:rPr>
  </w:style>
  <w:style w:type="paragraph" w:styleId="Title">
    <w:name w:val="Title"/>
    <w:basedOn w:val="Normal"/>
    <w:link w:val="TitleChar"/>
    <w:qFormat/>
    <w:rsid w:val="00B77C34"/>
    <w:pPr>
      <w:spacing w:after="0" w:line="240" w:lineRule="auto"/>
      <w:jc w:val="center"/>
    </w:pPr>
    <w:rPr>
      <w:rFonts w:ascii="Times New Roman" w:eastAsia="Times New Roman" w:hAnsi="Times New Roman" w:cs="Times New Roman"/>
      <w:sz w:val="24"/>
      <w:szCs w:val="24"/>
      <w:u w:val="single"/>
      <w:lang w:val="en-GB"/>
    </w:rPr>
  </w:style>
  <w:style w:type="character" w:customStyle="1" w:styleId="TitleChar">
    <w:name w:val="Title Char"/>
    <w:basedOn w:val="DefaultParagraphFont"/>
    <w:link w:val="Title"/>
    <w:rsid w:val="00B77C34"/>
    <w:rPr>
      <w:rFonts w:ascii="Times New Roman" w:eastAsia="Times New Roman" w:hAnsi="Times New Roman" w:cs="Times New Roman"/>
      <w:sz w:val="24"/>
      <w:szCs w:val="24"/>
      <w:u w:val="single"/>
      <w:lang w:val="en-GB"/>
    </w:rPr>
  </w:style>
  <w:style w:type="paragraph" w:styleId="BalloonText">
    <w:name w:val="Balloon Text"/>
    <w:basedOn w:val="Normal"/>
    <w:link w:val="BalloonTextChar"/>
    <w:uiPriority w:val="99"/>
    <w:semiHidden/>
    <w:unhideWhenUsed/>
    <w:rsid w:val="00B77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C34"/>
    <w:rPr>
      <w:rFonts w:ascii="Tahoma" w:hAnsi="Tahoma" w:cs="Tahoma"/>
      <w:sz w:val="16"/>
      <w:szCs w:val="16"/>
    </w:rPr>
  </w:style>
  <w:style w:type="paragraph" w:styleId="Header">
    <w:name w:val="header"/>
    <w:basedOn w:val="Normal"/>
    <w:link w:val="HeaderChar"/>
    <w:uiPriority w:val="99"/>
    <w:unhideWhenUsed/>
    <w:rsid w:val="00F10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AF8"/>
  </w:style>
  <w:style w:type="paragraph" w:styleId="Footer">
    <w:name w:val="footer"/>
    <w:basedOn w:val="Normal"/>
    <w:link w:val="FooterChar"/>
    <w:uiPriority w:val="99"/>
    <w:unhideWhenUsed/>
    <w:rsid w:val="00F10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AF8"/>
  </w:style>
  <w:style w:type="character" w:customStyle="1" w:styleId="ListParagraphChar">
    <w:name w:val="List Paragraph Char"/>
    <w:aliases w:val="List Paragraph1 Char,Left Bullet L1 Char,List Paragraph11 Char"/>
    <w:link w:val="ListParagraph"/>
    <w:uiPriority w:val="34"/>
    <w:rsid w:val="005605EC"/>
    <w:rPr>
      <w:rFonts w:ascii="Calibri" w:eastAsia="Calibri" w:hAnsi="Calibri" w:cs="Times New Roman"/>
    </w:rPr>
  </w:style>
  <w:style w:type="paragraph" w:customStyle="1" w:styleId="Default">
    <w:name w:val="Default"/>
    <w:rsid w:val="00696D3D"/>
    <w:pPr>
      <w:autoSpaceDE w:val="0"/>
      <w:autoSpaceDN w:val="0"/>
      <w:adjustRightInd w:val="0"/>
      <w:spacing w:after="0" w:line="240" w:lineRule="auto"/>
    </w:pPr>
    <w:rPr>
      <w:rFonts w:ascii="Calibri" w:eastAsiaTheme="minorHAnsi" w:hAnsi="Calibri" w:cs="Calibri"/>
      <w:color w:val="000000"/>
      <w:sz w:val="24"/>
      <w:szCs w:val="24"/>
      <w:lang w:val="en-ZA"/>
    </w:rPr>
  </w:style>
  <w:style w:type="paragraph" w:styleId="NormalWeb">
    <w:name w:val="Normal (Web)"/>
    <w:basedOn w:val="Normal"/>
    <w:uiPriority w:val="99"/>
    <w:unhideWhenUsed/>
    <w:rsid w:val="009E423A"/>
    <w:pPr>
      <w:spacing w:after="160" w:line="259" w:lineRule="auto"/>
    </w:pPr>
    <w:rPr>
      <w:rFonts w:ascii="Times New Roman" w:eastAsiaTheme="minorHAnsi" w:hAnsi="Times New Roman" w:cs="Times New Roman"/>
      <w:sz w:val="24"/>
      <w:szCs w:val="24"/>
    </w:rPr>
  </w:style>
  <w:style w:type="character" w:styleId="Emphasis">
    <w:name w:val="Emphasis"/>
    <w:basedOn w:val="DefaultParagraphFont"/>
    <w:uiPriority w:val="20"/>
    <w:qFormat/>
    <w:rsid w:val="009E4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5058">
      <w:bodyDiv w:val="1"/>
      <w:marLeft w:val="0"/>
      <w:marRight w:val="0"/>
      <w:marTop w:val="0"/>
      <w:marBottom w:val="0"/>
      <w:divBdr>
        <w:top w:val="none" w:sz="0" w:space="0" w:color="auto"/>
        <w:left w:val="none" w:sz="0" w:space="0" w:color="auto"/>
        <w:bottom w:val="none" w:sz="0" w:space="0" w:color="auto"/>
        <w:right w:val="none" w:sz="0" w:space="0" w:color="auto"/>
      </w:divBdr>
    </w:div>
    <w:div w:id="154880462">
      <w:bodyDiv w:val="1"/>
      <w:marLeft w:val="0"/>
      <w:marRight w:val="0"/>
      <w:marTop w:val="0"/>
      <w:marBottom w:val="0"/>
      <w:divBdr>
        <w:top w:val="none" w:sz="0" w:space="0" w:color="auto"/>
        <w:left w:val="none" w:sz="0" w:space="0" w:color="auto"/>
        <w:bottom w:val="none" w:sz="0" w:space="0" w:color="auto"/>
        <w:right w:val="none" w:sz="0" w:space="0" w:color="auto"/>
      </w:divBdr>
    </w:div>
    <w:div w:id="360251569">
      <w:bodyDiv w:val="1"/>
      <w:marLeft w:val="0"/>
      <w:marRight w:val="0"/>
      <w:marTop w:val="0"/>
      <w:marBottom w:val="0"/>
      <w:divBdr>
        <w:top w:val="none" w:sz="0" w:space="0" w:color="auto"/>
        <w:left w:val="none" w:sz="0" w:space="0" w:color="auto"/>
        <w:bottom w:val="none" w:sz="0" w:space="0" w:color="auto"/>
        <w:right w:val="none" w:sz="0" w:space="0" w:color="auto"/>
      </w:divBdr>
    </w:div>
    <w:div w:id="371199804">
      <w:bodyDiv w:val="1"/>
      <w:marLeft w:val="0"/>
      <w:marRight w:val="0"/>
      <w:marTop w:val="0"/>
      <w:marBottom w:val="0"/>
      <w:divBdr>
        <w:top w:val="none" w:sz="0" w:space="0" w:color="auto"/>
        <w:left w:val="none" w:sz="0" w:space="0" w:color="auto"/>
        <w:bottom w:val="none" w:sz="0" w:space="0" w:color="auto"/>
        <w:right w:val="none" w:sz="0" w:space="0" w:color="auto"/>
      </w:divBdr>
    </w:div>
    <w:div w:id="392122242">
      <w:bodyDiv w:val="1"/>
      <w:marLeft w:val="0"/>
      <w:marRight w:val="0"/>
      <w:marTop w:val="0"/>
      <w:marBottom w:val="0"/>
      <w:divBdr>
        <w:top w:val="none" w:sz="0" w:space="0" w:color="auto"/>
        <w:left w:val="none" w:sz="0" w:space="0" w:color="auto"/>
        <w:bottom w:val="none" w:sz="0" w:space="0" w:color="auto"/>
        <w:right w:val="none" w:sz="0" w:space="0" w:color="auto"/>
      </w:divBdr>
    </w:div>
    <w:div w:id="508909914">
      <w:bodyDiv w:val="1"/>
      <w:marLeft w:val="0"/>
      <w:marRight w:val="0"/>
      <w:marTop w:val="0"/>
      <w:marBottom w:val="0"/>
      <w:divBdr>
        <w:top w:val="none" w:sz="0" w:space="0" w:color="auto"/>
        <w:left w:val="none" w:sz="0" w:space="0" w:color="auto"/>
        <w:bottom w:val="none" w:sz="0" w:space="0" w:color="auto"/>
        <w:right w:val="none" w:sz="0" w:space="0" w:color="auto"/>
      </w:divBdr>
    </w:div>
    <w:div w:id="694889343">
      <w:bodyDiv w:val="1"/>
      <w:marLeft w:val="0"/>
      <w:marRight w:val="0"/>
      <w:marTop w:val="0"/>
      <w:marBottom w:val="0"/>
      <w:divBdr>
        <w:top w:val="none" w:sz="0" w:space="0" w:color="auto"/>
        <w:left w:val="none" w:sz="0" w:space="0" w:color="auto"/>
        <w:bottom w:val="none" w:sz="0" w:space="0" w:color="auto"/>
        <w:right w:val="none" w:sz="0" w:space="0" w:color="auto"/>
      </w:divBdr>
    </w:div>
    <w:div w:id="720640773">
      <w:bodyDiv w:val="1"/>
      <w:marLeft w:val="0"/>
      <w:marRight w:val="0"/>
      <w:marTop w:val="0"/>
      <w:marBottom w:val="0"/>
      <w:divBdr>
        <w:top w:val="none" w:sz="0" w:space="0" w:color="auto"/>
        <w:left w:val="none" w:sz="0" w:space="0" w:color="auto"/>
        <w:bottom w:val="none" w:sz="0" w:space="0" w:color="auto"/>
        <w:right w:val="none" w:sz="0" w:space="0" w:color="auto"/>
      </w:divBdr>
    </w:div>
    <w:div w:id="775953300">
      <w:bodyDiv w:val="1"/>
      <w:marLeft w:val="0"/>
      <w:marRight w:val="0"/>
      <w:marTop w:val="0"/>
      <w:marBottom w:val="0"/>
      <w:divBdr>
        <w:top w:val="none" w:sz="0" w:space="0" w:color="auto"/>
        <w:left w:val="none" w:sz="0" w:space="0" w:color="auto"/>
        <w:bottom w:val="none" w:sz="0" w:space="0" w:color="auto"/>
        <w:right w:val="none" w:sz="0" w:space="0" w:color="auto"/>
      </w:divBdr>
    </w:div>
    <w:div w:id="949237138">
      <w:bodyDiv w:val="1"/>
      <w:marLeft w:val="0"/>
      <w:marRight w:val="0"/>
      <w:marTop w:val="0"/>
      <w:marBottom w:val="0"/>
      <w:divBdr>
        <w:top w:val="none" w:sz="0" w:space="0" w:color="auto"/>
        <w:left w:val="none" w:sz="0" w:space="0" w:color="auto"/>
        <w:bottom w:val="none" w:sz="0" w:space="0" w:color="auto"/>
        <w:right w:val="none" w:sz="0" w:space="0" w:color="auto"/>
      </w:divBdr>
    </w:div>
    <w:div w:id="993144645">
      <w:bodyDiv w:val="1"/>
      <w:marLeft w:val="0"/>
      <w:marRight w:val="0"/>
      <w:marTop w:val="0"/>
      <w:marBottom w:val="0"/>
      <w:divBdr>
        <w:top w:val="none" w:sz="0" w:space="0" w:color="auto"/>
        <w:left w:val="none" w:sz="0" w:space="0" w:color="auto"/>
        <w:bottom w:val="none" w:sz="0" w:space="0" w:color="auto"/>
        <w:right w:val="none" w:sz="0" w:space="0" w:color="auto"/>
      </w:divBdr>
    </w:div>
    <w:div w:id="1089421362">
      <w:bodyDiv w:val="1"/>
      <w:marLeft w:val="0"/>
      <w:marRight w:val="0"/>
      <w:marTop w:val="0"/>
      <w:marBottom w:val="0"/>
      <w:divBdr>
        <w:top w:val="none" w:sz="0" w:space="0" w:color="auto"/>
        <w:left w:val="none" w:sz="0" w:space="0" w:color="auto"/>
        <w:bottom w:val="none" w:sz="0" w:space="0" w:color="auto"/>
        <w:right w:val="none" w:sz="0" w:space="0" w:color="auto"/>
      </w:divBdr>
    </w:div>
    <w:div w:id="1105349861">
      <w:bodyDiv w:val="1"/>
      <w:marLeft w:val="0"/>
      <w:marRight w:val="0"/>
      <w:marTop w:val="0"/>
      <w:marBottom w:val="0"/>
      <w:divBdr>
        <w:top w:val="none" w:sz="0" w:space="0" w:color="auto"/>
        <w:left w:val="none" w:sz="0" w:space="0" w:color="auto"/>
        <w:bottom w:val="none" w:sz="0" w:space="0" w:color="auto"/>
        <w:right w:val="none" w:sz="0" w:space="0" w:color="auto"/>
      </w:divBdr>
    </w:div>
    <w:div w:id="1148133798">
      <w:bodyDiv w:val="1"/>
      <w:marLeft w:val="0"/>
      <w:marRight w:val="0"/>
      <w:marTop w:val="0"/>
      <w:marBottom w:val="0"/>
      <w:divBdr>
        <w:top w:val="none" w:sz="0" w:space="0" w:color="auto"/>
        <w:left w:val="none" w:sz="0" w:space="0" w:color="auto"/>
        <w:bottom w:val="none" w:sz="0" w:space="0" w:color="auto"/>
        <w:right w:val="none" w:sz="0" w:space="0" w:color="auto"/>
      </w:divBdr>
    </w:div>
    <w:div w:id="1262491787">
      <w:bodyDiv w:val="1"/>
      <w:marLeft w:val="0"/>
      <w:marRight w:val="0"/>
      <w:marTop w:val="0"/>
      <w:marBottom w:val="0"/>
      <w:divBdr>
        <w:top w:val="none" w:sz="0" w:space="0" w:color="auto"/>
        <w:left w:val="none" w:sz="0" w:space="0" w:color="auto"/>
        <w:bottom w:val="none" w:sz="0" w:space="0" w:color="auto"/>
        <w:right w:val="none" w:sz="0" w:space="0" w:color="auto"/>
      </w:divBdr>
    </w:div>
    <w:div w:id="1338927506">
      <w:bodyDiv w:val="1"/>
      <w:marLeft w:val="0"/>
      <w:marRight w:val="0"/>
      <w:marTop w:val="0"/>
      <w:marBottom w:val="0"/>
      <w:divBdr>
        <w:top w:val="none" w:sz="0" w:space="0" w:color="auto"/>
        <w:left w:val="none" w:sz="0" w:space="0" w:color="auto"/>
        <w:bottom w:val="none" w:sz="0" w:space="0" w:color="auto"/>
        <w:right w:val="none" w:sz="0" w:space="0" w:color="auto"/>
      </w:divBdr>
    </w:div>
    <w:div w:id="1439175461">
      <w:bodyDiv w:val="1"/>
      <w:marLeft w:val="0"/>
      <w:marRight w:val="0"/>
      <w:marTop w:val="0"/>
      <w:marBottom w:val="0"/>
      <w:divBdr>
        <w:top w:val="none" w:sz="0" w:space="0" w:color="auto"/>
        <w:left w:val="none" w:sz="0" w:space="0" w:color="auto"/>
        <w:bottom w:val="none" w:sz="0" w:space="0" w:color="auto"/>
        <w:right w:val="none" w:sz="0" w:space="0" w:color="auto"/>
      </w:divBdr>
    </w:div>
    <w:div w:id="1511945329">
      <w:bodyDiv w:val="1"/>
      <w:marLeft w:val="0"/>
      <w:marRight w:val="0"/>
      <w:marTop w:val="0"/>
      <w:marBottom w:val="0"/>
      <w:divBdr>
        <w:top w:val="none" w:sz="0" w:space="0" w:color="auto"/>
        <w:left w:val="none" w:sz="0" w:space="0" w:color="auto"/>
        <w:bottom w:val="none" w:sz="0" w:space="0" w:color="auto"/>
        <w:right w:val="none" w:sz="0" w:space="0" w:color="auto"/>
      </w:divBdr>
    </w:div>
    <w:div w:id="21199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2019-10-29T07:00:00+00:00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2018-12-31T05:00:00+00:00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1502</Value>
      <Value>1</Value>
      <Value>763</Value>
    </TaxCatchAll>
    <c4e2ab2cc9354bbf9064eeb465a566ea xmlns="1ed4137b-41b2-488b-8250-6d369ec27664">
      <Terms xmlns="http://schemas.microsoft.com/office/infopath/2007/PartnerControls"/>
    </c4e2ab2cc9354bbf9064eeb465a566ea>
    <UndpProjectNo xmlns="1ed4137b-41b2-488b-8250-6d369ec27664">00082649</UndpProjectNo>
    <UndpDocStatus xmlns="1ed4137b-41b2-488b-8250-6d369ec27664">Not 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LSO</TermName>
          <TermId xmlns="http://schemas.microsoft.com/office/infopath/2007/PartnerControls">75276b2a-9ecc-4df8-8b39-58fdb75bde3e</TermId>
        </TermInfo>
      </Terms>
    </gc6531b704974d528487414686b72f6f>
    <_dlc_DocId xmlns="f1161f5b-24a3-4c2d-bc81-44cb9325e8ee">ATLASPDC-4-107346</_dlc_DocId>
    <_dlc_DocIdUrl xmlns="f1161f5b-24a3-4c2d-bc81-44cb9325e8ee">
      <Url>https://info.undp.org/docs/pdc/_layouts/DocIdRedir.aspx?ID=ATLASPDC-4-107346</Url>
      <Description>ATLASPDC-4-107346</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A21920EA-7355-4AB2-A5C9-1EBC40EDA7C1}">
  <ds:schemaRefs>
    <ds:schemaRef ds:uri="http://schemas.openxmlformats.org/officeDocument/2006/bibliography"/>
  </ds:schemaRefs>
</ds:datastoreItem>
</file>

<file path=customXml/itemProps2.xml><?xml version="1.0" encoding="utf-8"?>
<ds:datastoreItem xmlns:ds="http://schemas.openxmlformats.org/officeDocument/2006/customXml" ds:itemID="{3BB915F0-EC9D-42C4-A479-62641DFBD2BC}"/>
</file>

<file path=customXml/itemProps3.xml><?xml version="1.0" encoding="utf-8"?>
<ds:datastoreItem xmlns:ds="http://schemas.openxmlformats.org/officeDocument/2006/customXml" ds:itemID="{1466A73C-C383-48F6-829B-E65D8EEFAEB9}"/>
</file>

<file path=customXml/itemProps4.xml><?xml version="1.0" encoding="utf-8"?>
<ds:datastoreItem xmlns:ds="http://schemas.openxmlformats.org/officeDocument/2006/customXml" ds:itemID="{1A29D964-BBE2-44FF-8282-1DC9F83D72D8}"/>
</file>

<file path=customXml/itemProps5.xml><?xml version="1.0" encoding="utf-8"?>
<ds:datastoreItem xmlns:ds="http://schemas.openxmlformats.org/officeDocument/2006/customXml" ds:itemID="{E9A919D5-5A38-40BF-B849-24A5017C1622}"/>
</file>

<file path=customXml/itemProps6.xml><?xml version="1.0" encoding="utf-8"?>
<ds:datastoreItem xmlns:ds="http://schemas.openxmlformats.org/officeDocument/2006/customXml" ds:itemID="{3E1EAB06-5BCF-40FB-89A5-AC0CD98CDC0B}"/>
</file>

<file path=docProps/app.xml><?xml version="1.0" encoding="utf-8"?>
<Properties xmlns="http://schemas.openxmlformats.org/officeDocument/2006/extended-properties" xmlns:vt="http://schemas.openxmlformats.org/officeDocument/2006/docPropsVTypes">
  <Template>Normal</Template>
  <TotalTime>0</TotalTime>
  <Pages>8</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anvar.sabzaliev</dc:creator>
  <cp:lastModifiedBy>Mabohlokoa Tau</cp:lastModifiedBy>
  <cp:revision>2</cp:revision>
  <cp:lastPrinted>2010-03-30T19:14:00Z</cp:lastPrinted>
  <dcterms:created xsi:type="dcterms:W3CDTF">2019-02-20T11:03:00Z</dcterms:created>
  <dcterms:modified xsi:type="dcterms:W3CDTF">2019-02-20T11:03:00Z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1502;#LSO|75276b2a-9ecc-4df8-8b39-58fdb75bde3e</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cd11bde6-6eda-4a99-8fc0-2f9ad32e0368</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